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B421D" w14:textId="77777777" w:rsidR="00FC36A5" w:rsidRPr="00FC36A5" w:rsidRDefault="00FC36A5" w:rsidP="00FC36A5">
      <w:pPr>
        <w:rPr>
          <w:b/>
          <w:bCs/>
        </w:rPr>
      </w:pPr>
      <w:r w:rsidRPr="00FC36A5">
        <w:rPr>
          <w:b/>
          <w:bCs/>
        </w:rPr>
        <w:t>Rotation Period Validation and Confidence Flagging</w:t>
      </w:r>
    </w:p>
    <w:p w14:paraId="3E5442B4" w14:textId="77777777" w:rsidR="00FC36A5" w:rsidRPr="00FC36A5" w:rsidRDefault="00FC36A5" w:rsidP="00FC36A5">
      <w:r w:rsidRPr="00FC36A5">
        <w:t xml:space="preserve">Rotation period detections were assigned confidence levels using a tiered validation framework designed to balance automation, physical interpretability, and </w:t>
      </w:r>
      <w:proofErr w:type="spellStart"/>
      <w:r w:rsidRPr="00FC36A5">
        <w:t>reproducducibility</w:t>
      </w:r>
      <w:proofErr w:type="spellEnd"/>
      <w:r w:rsidRPr="00FC36A5">
        <w:t xml:space="preserve">. This approach follows established practices in large stellar rotation surveys using space-based photometry (e.g., </w:t>
      </w:r>
      <w:r w:rsidRPr="00FC36A5">
        <w:rPr>
          <w:b/>
          <w:bCs/>
        </w:rPr>
        <w:t>McQuillan et al. 2014; Santos et al. 2019; Reinhold et al. 2013</w:t>
      </w:r>
      <w:r w:rsidRPr="00FC36A5">
        <w:t>) and was informed by a pilot validation study conducted prior to full-scale application.</w:t>
      </w:r>
    </w:p>
    <w:p w14:paraId="418FCA02" w14:textId="77777777" w:rsidR="00FC36A5" w:rsidRPr="00FC36A5" w:rsidRDefault="00FC36A5" w:rsidP="00FC36A5">
      <w:pPr>
        <w:rPr>
          <w:b/>
          <w:bCs/>
        </w:rPr>
      </w:pPr>
      <w:r w:rsidRPr="00FC36A5">
        <w:rPr>
          <w:b/>
          <w:bCs/>
        </w:rPr>
        <w:t>Tier 1: Automatic Acceptance (High Confidence)</w:t>
      </w:r>
    </w:p>
    <w:p w14:paraId="444587AB" w14:textId="77777777" w:rsidR="00FC36A5" w:rsidRPr="00FC36A5" w:rsidRDefault="00FC36A5" w:rsidP="00FC36A5">
      <w:r w:rsidRPr="00FC36A5">
        <w:t xml:space="preserve">Rotation periods were automatically accepted without manual intervention when </w:t>
      </w:r>
      <w:proofErr w:type="gramStart"/>
      <w:r w:rsidRPr="00FC36A5">
        <w:t>all of</w:t>
      </w:r>
      <w:proofErr w:type="gramEnd"/>
      <w:r w:rsidRPr="00FC36A5">
        <w:t xml:space="preserve"> the following conditions were satisfied:</w:t>
      </w:r>
    </w:p>
    <w:p w14:paraId="3A7275E6" w14:textId="77777777" w:rsidR="00FC36A5" w:rsidRPr="00FC36A5" w:rsidRDefault="00FC36A5" w:rsidP="00FC36A5">
      <w:pPr>
        <w:numPr>
          <w:ilvl w:val="0"/>
          <w:numId w:val="9"/>
        </w:numPr>
      </w:pPr>
      <w:r w:rsidRPr="00FC36A5">
        <w:t>The Lomb–</w:t>
      </w:r>
      <w:proofErr w:type="spellStart"/>
      <w:r w:rsidRPr="00FC36A5">
        <w:t>Scargle</w:t>
      </w:r>
      <w:proofErr w:type="spellEnd"/>
      <w:r w:rsidRPr="00FC36A5">
        <w:t xml:space="preserve"> periodogram yielded a statistically significant detection, exceeding the adopted false-alarm probability threshold (FAP &lt; 1%), consistent with thresholds commonly employed in Kepler and TESS rotation studies (McQuillan et al. 2014; Santos et al. 2019).</w:t>
      </w:r>
    </w:p>
    <w:p w14:paraId="5421DD08" w14:textId="77777777" w:rsidR="00FC36A5" w:rsidRPr="00FC36A5" w:rsidRDefault="00FC36A5" w:rsidP="00FC36A5">
      <w:pPr>
        <w:numPr>
          <w:ilvl w:val="0"/>
          <w:numId w:val="9"/>
        </w:numPr>
      </w:pPr>
      <w:r w:rsidRPr="00FC36A5">
        <w:t>The autocorrelation function (ACF) returned a period estimate consistent with the Lomb–</w:t>
      </w:r>
      <w:proofErr w:type="spellStart"/>
      <w:r w:rsidRPr="00FC36A5">
        <w:t>Scargle</w:t>
      </w:r>
      <w:proofErr w:type="spellEnd"/>
      <w:r w:rsidRPr="00FC36A5">
        <w:t xml:space="preserve"> result within predefined tolerance, or the ACF was unavailable but the Lomb–</w:t>
      </w:r>
      <w:proofErr w:type="spellStart"/>
      <w:r w:rsidRPr="00FC36A5">
        <w:t>Scargle</w:t>
      </w:r>
      <w:proofErr w:type="spellEnd"/>
      <w:r w:rsidRPr="00FC36A5">
        <w:t xml:space="preserve"> signal exhibited strong, isolated power.</w:t>
      </w:r>
    </w:p>
    <w:p w14:paraId="32296C00" w14:textId="77777777" w:rsidR="00FC36A5" w:rsidRPr="00FC36A5" w:rsidRDefault="00FC36A5" w:rsidP="00FC36A5">
      <w:pPr>
        <w:numPr>
          <w:ilvl w:val="0"/>
          <w:numId w:val="9"/>
        </w:numPr>
      </w:pPr>
      <w:r w:rsidRPr="00FC36A5">
        <w:t>Automated diagnostics indicated coherent modulation across multiple rotational cycles, as inferred from the concentration of periodogram power and the presence of stable ACF structure, rather than from visual inspection.</w:t>
      </w:r>
    </w:p>
    <w:p w14:paraId="7A210BA5" w14:textId="77777777" w:rsidR="00FC36A5" w:rsidRPr="00FC36A5" w:rsidRDefault="00FC36A5" w:rsidP="00FC36A5">
      <w:pPr>
        <w:numPr>
          <w:ilvl w:val="0"/>
          <w:numId w:val="9"/>
        </w:numPr>
      </w:pPr>
      <w:r w:rsidRPr="00FC36A5">
        <w:t>No evidence was found for non-rotational variability, including sharp eclipse-like features, transit-dominated signals, or light curves dominated by isolated flares or transient events.</w:t>
      </w:r>
    </w:p>
    <w:p w14:paraId="60C8BC5D" w14:textId="77777777" w:rsidR="00FC36A5" w:rsidRPr="00FC36A5" w:rsidRDefault="00FC36A5" w:rsidP="00FC36A5">
      <w:r w:rsidRPr="00FC36A5">
        <w:t xml:space="preserve">Typical cases in this tier include stars exhibiting clean sinusoidal or quasi-sinusoidal modulation and moderate to strong spot-induced variability. </w:t>
      </w:r>
      <w:proofErr w:type="gramStart"/>
      <w:r w:rsidRPr="00FC36A5">
        <w:t>The majority of</w:t>
      </w:r>
      <w:proofErr w:type="gramEnd"/>
      <w:r w:rsidRPr="00FC36A5">
        <w:t xml:space="preserve"> stars flagged by the pipeline as </w:t>
      </w:r>
      <w:r w:rsidRPr="00FC36A5">
        <w:rPr>
          <w:i/>
          <w:iCs/>
        </w:rPr>
        <w:t>Match</w:t>
      </w:r>
      <w:r w:rsidRPr="00FC36A5">
        <w:t xml:space="preserve">, along with a subset of </w:t>
      </w:r>
      <w:proofErr w:type="spellStart"/>
      <w:r w:rsidRPr="00FC36A5">
        <w:rPr>
          <w:i/>
          <w:iCs/>
        </w:rPr>
        <w:t>Harmonic_Corrected</w:t>
      </w:r>
      <w:proofErr w:type="spellEnd"/>
      <w:r w:rsidRPr="00FC36A5">
        <w:t xml:space="preserve"> cases, fall into this category. These detections are considered high-confidence and are retained for population-level statistical analysis without further inspection.</w:t>
      </w:r>
    </w:p>
    <w:p w14:paraId="0FEF2CB5" w14:textId="77777777" w:rsidR="00FC36A5" w:rsidRPr="00FC36A5" w:rsidRDefault="00FC36A5" w:rsidP="00FC36A5">
      <w:pPr>
        <w:rPr>
          <w:b/>
          <w:bCs/>
        </w:rPr>
      </w:pPr>
      <w:r w:rsidRPr="00FC36A5">
        <w:rPr>
          <w:b/>
          <w:bCs/>
        </w:rPr>
        <w:t>Tier 2: Conditional Acceptance (Medium Confidence)</w:t>
      </w:r>
    </w:p>
    <w:p w14:paraId="6592C4F6" w14:textId="77777777" w:rsidR="00FC36A5" w:rsidRPr="00FC36A5" w:rsidRDefault="00FC36A5" w:rsidP="00FC36A5">
      <w:r w:rsidRPr="00FC36A5">
        <w:t xml:space="preserve">Stars flagged by the automated pipeline as </w:t>
      </w:r>
      <w:proofErr w:type="spellStart"/>
      <w:r w:rsidRPr="00FC36A5">
        <w:rPr>
          <w:i/>
          <w:iCs/>
        </w:rPr>
        <w:t>Harmonic_Corrected</w:t>
      </w:r>
      <w:proofErr w:type="spellEnd"/>
      <w:r w:rsidRPr="00FC36A5">
        <w:t xml:space="preserve"> or </w:t>
      </w:r>
      <w:r w:rsidRPr="00FC36A5">
        <w:rPr>
          <w:i/>
          <w:iCs/>
        </w:rPr>
        <w:t>Ambiguous</w:t>
      </w:r>
      <w:r w:rsidRPr="00FC36A5">
        <w:t xml:space="preserve"> were subjected to targeted, bounded inspection and conditionally accepted when the following criteria were met:</w:t>
      </w:r>
    </w:p>
    <w:p w14:paraId="4A9B0DD3" w14:textId="77777777" w:rsidR="00FC36A5" w:rsidRPr="00FC36A5" w:rsidRDefault="00FC36A5" w:rsidP="00FC36A5">
      <w:pPr>
        <w:numPr>
          <w:ilvl w:val="0"/>
          <w:numId w:val="10"/>
        </w:numPr>
      </w:pPr>
      <w:r w:rsidRPr="00FC36A5">
        <w:t>Phase-folded diagnostics demonstrated a clear improvement in coherence at either the pipeline-selected period (P) or its first harmonic (P/2).</w:t>
      </w:r>
    </w:p>
    <w:p w14:paraId="396E262E" w14:textId="77777777" w:rsidR="00FC36A5" w:rsidRPr="00FC36A5" w:rsidRDefault="00FC36A5" w:rsidP="00FC36A5">
      <w:pPr>
        <w:numPr>
          <w:ilvl w:val="0"/>
          <w:numId w:val="10"/>
        </w:numPr>
      </w:pPr>
      <w:r w:rsidRPr="00FC36A5">
        <w:lastRenderedPageBreak/>
        <w:t>The folded light curve exhibited characteristic “double-dip” morphology indicative of spot groups located on opposite stellar hemispheres, a well-documented failure mode of automated period-finding algorithms (Reinhold et al. 2013; McQuillan et al. 2014).</w:t>
      </w:r>
    </w:p>
    <w:p w14:paraId="51BB73F9" w14:textId="77777777" w:rsidR="00FC36A5" w:rsidRPr="00FC36A5" w:rsidRDefault="00FC36A5" w:rsidP="00FC36A5">
      <w:pPr>
        <w:numPr>
          <w:ilvl w:val="0"/>
          <w:numId w:val="10"/>
        </w:numPr>
      </w:pPr>
      <w:r w:rsidRPr="00FC36A5">
        <w:t>Variability remained physically interpretable as rotational modulation despite low amplitude, evolving spot patterns, or proximity to the observational baseline limit.</w:t>
      </w:r>
    </w:p>
    <w:p w14:paraId="1F5CF951" w14:textId="77777777" w:rsidR="00FC36A5" w:rsidRPr="00FC36A5" w:rsidRDefault="00FC36A5" w:rsidP="00FC36A5">
      <w:r w:rsidRPr="00FC36A5">
        <w:t xml:space="preserve">This tier includes classic double-dip cases accepted at half the initially detected period, as well as rotators with periods approaching the effective detection limit of a single TESS sector (approximately 13–15 days; Santos et al. 2019). Stars accepted under these conditions are </w:t>
      </w:r>
      <w:proofErr w:type="spellStart"/>
      <w:r w:rsidRPr="00FC36A5">
        <w:t>labeled</w:t>
      </w:r>
      <w:proofErr w:type="spellEnd"/>
      <w:r w:rsidRPr="00FC36A5">
        <w:t xml:space="preserve"> as </w:t>
      </w:r>
      <w:r w:rsidRPr="00FC36A5">
        <w:rPr>
          <w:b/>
          <w:bCs/>
        </w:rPr>
        <w:t>ACCEPT_MEDIUM</w:t>
      </w:r>
      <w:r w:rsidRPr="00FC36A5">
        <w:t xml:space="preserve"> in the validation </w:t>
      </w:r>
      <w:proofErr w:type="spellStart"/>
      <w:r w:rsidRPr="00FC36A5">
        <w:t>catalog</w:t>
      </w:r>
      <w:proofErr w:type="spellEnd"/>
      <w:r w:rsidRPr="00FC36A5">
        <w:t xml:space="preserve"> and retained for downstream statistical analysis with appropriately reduced confidence.</w:t>
      </w:r>
    </w:p>
    <w:p w14:paraId="4CD55471" w14:textId="77777777" w:rsidR="00FC36A5" w:rsidRPr="00FC36A5" w:rsidRDefault="00FC36A5" w:rsidP="00FC36A5">
      <w:pPr>
        <w:rPr>
          <w:b/>
          <w:bCs/>
        </w:rPr>
      </w:pPr>
      <w:r w:rsidRPr="00FC36A5">
        <w:rPr>
          <w:b/>
          <w:bCs/>
        </w:rPr>
        <w:t>Tier 3: Rejection (Non-Rotational or Unreliable)</w:t>
      </w:r>
    </w:p>
    <w:p w14:paraId="2F155FD9" w14:textId="77777777" w:rsidR="00FC36A5" w:rsidRPr="00FC36A5" w:rsidRDefault="00FC36A5" w:rsidP="00FC36A5">
      <w:r w:rsidRPr="00FC36A5">
        <w:t>Stars were rejected and excluded from population-level statistical analysis when any of the following conditions applied:</w:t>
      </w:r>
    </w:p>
    <w:p w14:paraId="620AD7C7" w14:textId="77777777" w:rsidR="00FC36A5" w:rsidRPr="00FC36A5" w:rsidRDefault="00FC36A5" w:rsidP="00FC36A5">
      <w:r w:rsidRPr="00FC36A5">
        <w:rPr>
          <w:b/>
          <w:bCs/>
        </w:rPr>
        <w:t xml:space="preserve">A. </w:t>
      </w:r>
      <w:proofErr w:type="gramStart"/>
      <w:r w:rsidRPr="00FC36A5">
        <w:rPr>
          <w:b/>
          <w:bCs/>
        </w:rPr>
        <w:t>Non-rotational</w:t>
      </w:r>
      <w:proofErr w:type="gramEnd"/>
      <w:r w:rsidRPr="00FC36A5">
        <w:rPr>
          <w:b/>
          <w:bCs/>
        </w:rPr>
        <w:t xml:space="preserve"> variability:</w:t>
      </w:r>
      <w:r w:rsidRPr="00FC36A5">
        <w:br/>
        <w:t xml:space="preserve">Light curves dominated by sharp eclipse-like features, transit signals, flare-dominated </w:t>
      </w:r>
      <w:proofErr w:type="spellStart"/>
      <w:r w:rsidRPr="00FC36A5">
        <w:t>behavior</w:t>
      </w:r>
      <w:proofErr w:type="spellEnd"/>
      <w:r w:rsidRPr="00FC36A5">
        <w:t>, or other transient events inconsistent with spot-modulated stellar rotation, as commonly identified in Kepler and TESS datasets (McQuillan et al. 2014; Santos et al. 2019).</w:t>
      </w:r>
    </w:p>
    <w:p w14:paraId="5504E63A" w14:textId="77777777" w:rsidR="00FC36A5" w:rsidRPr="00FC36A5" w:rsidRDefault="00FC36A5" w:rsidP="00FC36A5">
      <w:r w:rsidRPr="00FC36A5">
        <w:rPr>
          <w:b/>
          <w:bCs/>
        </w:rPr>
        <w:t>B. Lack of coherence:</w:t>
      </w:r>
      <w:r w:rsidRPr="00FC36A5">
        <w:br/>
        <w:t>Phase-folded light curves at both P and P/2 failed to exhibit stable or repeatable modulation, with scatter comparable to that of the unphased light curve, indicating noise-dominated or systematics-dominated signals.</w:t>
      </w:r>
    </w:p>
    <w:p w14:paraId="38011F5B" w14:textId="77777777" w:rsidR="00FC36A5" w:rsidRPr="00FC36A5" w:rsidRDefault="00FC36A5" w:rsidP="00FC36A5">
      <w:r w:rsidRPr="00FC36A5">
        <w:rPr>
          <w:b/>
          <w:bCs/>
        </w:rPr>
        <w:t>C. Baseline or aliasing limitations:</w:t>
      </w:r>
      <w:r w:rsidRPr="00FC36A5">
        <w:br/>
        <w:t>Detected periods too close to the single-sector observational baseline to demonstrate clear repetition, or signals suspected to arise from cadence-related aliasing or instrumental systematics rather than true stellar rotation (Reinhold et al. 2013).</w:t>
      </w:r>
    </w:p>
    <w:p w14:paraId="1E1CA932" w14:textId="77777777" w:rsidR="00FC36A5" w:rsidRPr="00FC36A5" w:rsidRDefault="00FC36A5" w:rsidP="00FC36A5">
      <w:r w:rsidRPr="00FC36A5">
        <w:t>Rejected stars are conservatively excluded from all subsequent statistical comparisons.</w:t>
      </w:r>
    </w:p>
    <w:p w14:paraId="4C93B369" w14:textId="77777777" w:rsidR="00FC36A5" w:rsidRPr="00FC36A5" w:rsidRDefault="00FC36A5" w:rsidP="00FC36A5">
      <w:pPr>
        <w:rPr>
          <w:b/>
          <w:bCs/>
        </w:rPr>
      </w:pPr>
      <w:r w:rsidRPr="00FC36A5">
        <w:rPr>
          <w:b/>
          <w:bCs/>
        </w:rPr>
        <w:t>Bias Control and Reproducibility</w:t>
      </w:r>
    </w:p>
    <w:p w14:paraId="5956B196" w14:textId="77777777" w:rsidR="00FC36A5" w:rsidRPr="00FC36A5" w:rsidRDefault="00FC36A5" w:rsidP="00FC36A5">
      <w:r w:rsidRPr="00FC36A5">
        <w:t xml:space="preserve">All phase-folded inspections were conducted blind to planetary system properties and stellar multiplicity classifications. Manual inspection was limited to a minority of targets (approximately 10–15%), consistent with practices adopted in large rotation </w:t>
      </w:r>
      <w:proofErr w:type="spellStart"/>
      <w:r w:rsidRPr="00FC36A5">
        <w:t>catalogs</w:t>
      </w:r>
      <w:proofErr w:type="spellEnd"/>
      <w:r w:rsidRPr="00FC36A5">
        <w:t xml:space="preserve"> (McQuillan et al. 2014; Santos et al. 2019). Decisions were guided by objective </w:t>
      </w:r>
      <w:r w:rsidRPr="00FC36A5">
        <w:lastRenderedPageBreak/>
        <w:t>diagnostics, including relative phase coherence, dispersion, and stability across cycles, rather than subjective visual quality.</w:t>
      </w:r>
    </w:p>
    <w:p w14:paraId="6DE7BDA7" w14:textId="77777777" w:rsidR="00FC36A5" w:rsidRPr="00FC36A5" w:rsidRDefault="00FC36A5" w:rsidP="00FC36A5">
      <w:r w:rsidRPr="00FC36A5">
        <w:t>This tiered validation strategy prioritizes physical interpretability and transparency over forced automation, enabling reliable population-level inference while explicitly acknowledging uncertainty in individual rotation period measurements.</w:t>
      </w:r>
    </w:p>
    <w:p w14:paraId="2204EB4B" w14:textId="77777777" w:rsidR="000956D2" w:rsidRDefault="000956D2"/>
    <w:sectPr w:rsidR="00095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E72EF"/>
    <w:multiLevelType w:val="multilevel"/>
    <w:tmpl w:val="F5824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508FE"/>
    <w:multiLevelType w:val="multilevel"/>
    <w:tmpl w:val="5B3E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70EEB"/>
    <w:multiLevelType w:val="multilevel"/>
    <w:tmpl w:val="0DA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85925"/>
    <w:multiLevelType w:val="multilevel"/>
    <w:tmpl w:val="4802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E0C69"/>
    <w:multiLevelType w:val="multilevel"/>
    <w:tmpl w:val="91AE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35A15"/>
    <w:multiLevelType w:val="multilevel"/>
    <w:tmpl w:val="5EE6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0334A"/>
    <w:multiLevelType w:val="multilevel"/>
    <w:tmpl w:val="C7CA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65A91"/>
    <w:multiLevelType w:val="multilevel"/>
    <w:tmpl w:val="88AA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F6480"/>
    <w:multiLevelType w:val="multilevel"/>
    <w:tmpl w:val="7A82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108AD"/>
    <w:multiLevelType w:val="multilevel"/>
    <w:tmpl w:val="0346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606894">
    <w:abstractNumId w:val="3"/>
  </w:num>
  <w:num w:numId="2" w16cid:durableId="910769861">
    <w:abstractNumId w:val="9"/>
  </w:num>
  <w:num w:numId="3" w16cid:durableId="1320307754">
    <w:abstractNumId w:val="6"/>
  </w:num>
  <w:num w:numId="4" w16cid:durableId="1767724092">
    <w:abstractNumId w:val="4"/>
  </w:num>
  <w:num w:numId="5" w16cid:durableId="1347949197">
    <w:abstractNumId w:val="5"/>
  </w:num>
  <w:num w:numId="6" w16cid:durableId="1683970002">
    <w:abstractNumId w:val="8"/>
  </w:num>
  <w:num w:numId="7" w16cid:durableId="1297293892">
    <w:abstractNumId w:val="7"/>
  </w:num>
  <w:num w:numId="8" w16cid:durableId="467168153">
    <w:abstractNumId w:val="2"/>
  </w:num>
  <w:num w:numId="9" w16cid:durableId="1592664519">
    <w:abstractNumId w:val="1"/>
  </w:num>
  <w:num w:numId="10" w16cid:durableId="1313678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EF"/>
    <w:rsid w:val="00033773"/>
    <w:rsid w:val="000956D2"/>
    <w:rsid w:val="003446D0"/>
    <w:rsid w:val="00747A8E"/>
    <w:rsid w:val="009C1331"/>
    <w:rsid w:val="00C330EF"/>
    <w:rsid w:val="00FC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CB122"/>
  <w15:chartTrackingRefBased/>
  <w15:docId w15:val="{27CC9C8B-40FF-49EB-8C8F-EC7DDDD2D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0E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0E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0E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330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330E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33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Kushwaha</dc:creator>
  <cp:keywords/>
  <dc:description/>
  <cp:lastModifiedBy>Mukund Kushwaha</cp:lastModifiedBy>
  <cp:revision>3</cp:revision>
  <dcterms:created xsi:type="dcterms:W3CDTF">2025-12-21T22:57:00Z</dcterms:created>
  <dcterms:modified xsi:type="dcterms:W3CDTF">2025-12-23T16:58:00Z</dcterms:modified>
</cp:coreProperties>
</file>