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практическая-работа-8"/>
    <w:p>
      <w:pPr>
        <w:pStyle w:val="Heading1"/>
      </w:pPr>
      <w:r>
        <w:t xml:space="preserve">Практическая работа №8</w:t>
      </w:r>
    </w:p>
    <w:bookmarkStart w:id="9" w:name="работа-с-postgresql-adcm-и-grafana"/>
    <w:p>
      <w:pPr>
        <w:pStyle w:val="Heading2"/>
      </w:pPr>
      <w:r>
        <w:t xml:space="preserve">Работа с PostgreSQL, ADCM и Grafana</w:t>
      </w:r>
    </w:p>
    <w:p>
      <w:r>
        <w:pict>
          <v:rect style="width:0;height:1.5pt" o:hralign="center" o:hrstd="t" o:hr="t"/>
        </w:pict>
      </w:r>
    </w:p>
    <w:bookmarkEnd w:id="9"/>
    <w:bookmarkStart w:id="13" w:name="задание-1.-настройка-виртуальной-машины"/>
    <w:p>
      <w:pPr>
        <w:pStyle w:val="Heading2"/>
      </w:pPr>
      <w:r>
        <w:t xml:space="preserve">Задание 1. Настройка виртуальной машины</w:t>
      </w:r>
    </w:p>
    <w:p>
      <w:pPr>
        <w:pStyle w:val="CaptionedFigure"/>
      </w:pPr>
      <w:r>
        <w:drawing>
          <wp:inline>
            <wp:extent cx="5334000" cy="3015809"/>
            <wp:effectExtent b="0" l="0" r="0" t="0"/>
            <wp:docPr descr="ADCM Cluster Overview" title="" id="11" name="Picture"/>
            <a:graphic>
              <a:graphicData uri="http://schemas.openxmlformats.org/drawingml/2006/picture">
                <pic:pic>
                  <pic:nvPicPr>
                    <pic:cNvPr descr="screenshots/01_adc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ADCM Cluster Overview</w:t>
      </w:r>
    </w:p>
    <w:p>
      <w:r>
        <w:pict>
          <v:rect style="width:0;height:1.5pt" o:hralign="center" o:hrstd="t" o:hr="t"/>
        </w:pict>
      </w:r>
    </w:p>
    <w:bookmarkEnd w:id="13"/>
    <w:bookmarkStart w:id="17" w:name="X2d661e2d55d5fe6cddf9c14cc405127315b5fc3"/>
    <w:p>
      <w:pPr>
        <w:pStyle w:val="Heading2"/>
      </w:pPr>
      <w:r>
        <w:t xml:space="preserve">Задание 2. Создание базы данных ecommerce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Схема базы данных" title="" id="15" name="Picture"/>
            <a:graphic>
              <a:graphicData uri="http://schemas.openxmlformats.org/drawingml/2006/picture">
                <pic:pic>
                  <pic:nvPicPr>
                    <pic:cNvPr descr="screenshots/02_db_schem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базы данных</w:t>
      </w:r>
    </w:p>
    <w:p>
      <w:r>
        <w:pict>
          <v:rect style="width:0;height:1.5pt" o:hralign="center" o:hrstd="t" o:hr="t"/>
        </w:pict>
      </w:r>
    </w:p>
    <w:bookmarkEnd w:id="17"/>
    <w:bookmarkStart w:id="22" w:name="задание-3.-sql-запросы"/>
    <w:p>
      <w:pPr>
        <w:pStyle w:val="Heading2"/>
      </w:pPr>
      <w:r>
        <w:t xml:space="preserve">Задание 3. SQL Запросы</w:t>
      </w:r>
    </w:p>
    <w:bookmarkStart w:id="18" w:name="топ-10-категорий-по-выручке-с-переводом"/>
    <w:p>
      <w:pPr>
        <w:pStyle w:val="Heading3"/>
      </w:pPr>
      <w:r>
        <w:t xml:space="preserve">3.1. ТОП-10 категорий по выручке, с переводом</w:t>
      </w:r>
    </w:p>
    <w:p>
      <w:pPr>
        <w:pStyle w:val="FirstParagraph"/>
      </w:pPr>
      <w:r>
        <w:rPr>
          <w:b/>
          <w:bCs/>
        </w:rPr>
        <w:t xml:space="preserve">SQL КОД РЕШЕНИЯ: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p.product_category_name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category_name,</w:t>
      </w:r>
      <w:r>
        <w:br/>
      </w:r>
      <w:r>
        <w:rPr>
          <w:rStyle w:val="NormalTok"/>
        </w:rPr>
        <w:t xml:space="preserve">    pcnt.product_category_name_english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category_name_english,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total_revenue,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oi.order_id)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unique_orders,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total_items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oi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p.product_id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product_category_name_translation pcnt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p.product_category_name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pcnt.product_category_name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p.product_category_name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p.product_category_name, pcnt.product_category_name_english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total_revenue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category_name</w:t>
            </w:r>
          </w:p>
        </w:tc>
        <w:tc>
          <w:tcPr/>
          <w:p>
            <w:pPr>
              <w:pStyle w:val="Compact"/>
            </w:pPr>
            <w:r>
              <w:t xml:space="preserve">category_name_english</w:t>
            </w:r>
          </w:p>
        </w:tc>
        <w:tc>
          <w:tcPr/>
          <w:p>
            <w:pPr>
              <w:pStyle w:val="Compact"/>
            </w:pPr>
            <w:r>
              <w:t xml:space="preserve">total_revenue</w:t>
            </w:r>
          </w:p>
        </w:tc>
        <w:tc>
          <w:tcPr/>
          <w:p>
            <w:pPr>
              <w:pStyle w:val="Compact"/>
            </w:pPr>
            <w:r>
              <w:t xml:space="preserve">unique_orders</w:t>
            </w:r>
          </w:p>
        </w:tc>
        <w:tc>
          <w:tcPr/>
          <w:p>
            <w:pPr>
              <w:pStyle w:val="Compact"/>
            </w:pPr>
            <w:r>
              <w:t xml:space="preserve">total_items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beleza_saude</w:t>
            </w:r>
          </w:p>
        </w:tc>
        <w:tc>
          <w:tcPr/>
          <w:p>
            <w:pPr>
              <w:pStyle w:val="Compact"/>
            </w:pPr>
            <w:r>
              <w:t xml:space="preserve">health_beauty</w:t>
            </w:r>
          </w:p>
        </w:tc>
        <w:tc>
          <w:tcPr/>
          <w:p>
            <w:pPr>
              <w:pStyle w:val="Compact"/>
            </w:pPr>
            <w:r>
              <w:t xml:space="preserve">1258681.34</w:t>
            </w:r>
          </w:p>
        </w:tc>
        <w:tc>
          <w:tcPr/>
          <w:p>
            <w:pPr>
              <w:pStyle w:val="Compact"/>
            </w:pPr>
            <w:r>
              <w:t xml:space="preserve">8836</w:t>
            </w:r>
          </w:p>
        </w:tc>
        <w:tc>
          <w:tcPr/>
          <w:p>
            <w:pPr>
              <w:pStyle w:val="Compact"/>
            </w:pPr>
            <w:r>
              <w:t xml:space="preserve">9670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relogios_presentes</w:t>
            </w:r>
          </w:p>
        </w:tc>
        <w:tc>
          <w:tcPr/>
          <w:p>
            <w:pPr>
              <w:pStyle w:val="Compact"/>
            </w:pPr>
            <w:r>
              <w:t xml:space="preserve">watches_gifts</w:t>
            </w:r>
          </w:p>
        </w:tc>
        <w:tc>
          <w:tcPr/>
          <w:p>
            <w:pPr>
              <w:pStyle w:val="Compact"/>
            </w:pPr>
            <w:r>
              <w:t xml:space="preserve">1205005.68</w:t>
            </w:r>
          </w:p>
        </w:tc>
        <w:tc>
          <w:tcPr/>
          <w:p>
            <w:pPr>
              <w:pStyle w:val="Compact"/>
            </w:pPr>
            <w:r>
              <w:t xml:space="preserve">5624</w:t>
            </w:r>
          </w:p>
        </w:tc>
        <w:tc>
          <w:tcPr/>
          <w:p>
            <w:pPr>
              <w:pStyle w:val="Compact"/>
            </w:pPr>
            <w:r>
              <w:t xml:space="preserve">5991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cama_mesa_banho</w:t>
            </w:r>
          </w:p>
        </w:tc>
        <w:tc>
          <w:tcPr/>
          <w:p>
            <w:pPr>
              <w:pStyle w:val="Compact"/>
            </w:pPr>
            <w:r>
              <w:t xml:space="preserve">bed_bath_table</w:t>
            </w:r>
          </w:p>
        </w:tc>
        <w:tc>
          <w:tcPr/>
          <w:p>
            <w:pPr>
              <w:pStyle w:val="Compact"/>
            </w:pPr>
            <w:r>
              <w:t xml:space="preserve">1036988.68</w:t>
            </w:r>
          </w:p>
        </w:tc>
        <w:tc>
          <w:tcPr/>
          <w:p>
            <w:pPr>
              <w:pStyle w:val="Compact"/>
            </w:pPr>
            <w:r>
              <w:t xml:space="preserve">9417</w:t>
            </w:r>
          </w:p>
        </w:tc>
        <w:tc>
          <w:tcPr/>
          <w:p>
            <w:pPr>
              <w:pStyle w:val="Compact"/>
            </w:pPr>
            <w:r>
              <w:t xml:space="preserve">11115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esporte_lazer</w:t>
            </w:r>
          </w:p>
        </w:tc>
        <w:tc>
          <w:tcPr/>
          <w:p>
            <w:pPr>
              <w:pStyle w:val="Compact"/>
            </w:pPr>
            <w:r>
              <w:t xml:space="preserve">sports_leisure</w:t>
            </w:r>
          </w:p>
        </w:tc>
        <w:tc>
          <w:tcPr/>
          <w:p>
            <w:pPr>
              <w:pStyle w:val="Compact"/>
            </w:pPr>
            <w:r>
              <w:t xml:space="preserve">988048.97</w:t>
            </w:r>
          </w:p>
        </w:tc>
        <w:tc>
          <w:tcPr/>
          <w:p>
            <w:pPr>
              <w:pStyle w:val="Compact"/>
            </w:pPr>
            <w:r>
              <w:t xml:space="preserve">7720</w:t>
            </w:r>
          </w:p>
        </w:tc>
        <w:tc>
          <w:tcPr/>
          <w:p>
            <w:pPr>
              <w:pStyle w:val="Compact"/>
            </w:pPr>
            <w:r>
              <w:t xml:space="preserve">8641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informatica_acessorios</w:t>
            </w:r>
          </w:p>
        </w:tc>
        <w:tc>
          <w:tcPr/>
          <w:p>
            <w:pPr>
              <w:pStyle w:val="Compact"/>
            </w:pPr>
            <w:r>
              <w:t xml:space="preserve">computers_accessories</w:t>
            </w:r>
          </w:p>
        </w:tc>
        <w:tc>
          <w:tcPr/>
          <w:p>
            <w:pPr>
              <w:pStyle w:val="Compact"/>
            </w:pPr>
            <w:r>
              <w:t xml:space="preserve">911954.32</w:t>
            </w:r>
          </w:p>
        </w:tc>
        <w:tc>
          <w:tcPr/>
          <w:p>
            <w:pPr>
              <w:pStyle w:val="Compact"/>
            </w:pPr>
            <w:r>
              <w:t xml:space="preserve">6689</w:t>
            </w:r>
          </w:p>
        </w:tc>
        <w:tc>
          <w:tcPr/>
          <w:p>
            <w:pPr>
              <w:pStyle w:val="Compact"/>
            </w:pPr>
            <w:r>
              <w:t xml:space="preserve">7827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moveis_decoracao</w:t>
            </w:r>
          </w:p>
        </w:tc>
        <w:tc>
          <w:tcPr/>
          <w:p>
            <w:pPr>
              <w:pStyle w:val="Compact"/>
            </w:pPr>
            <w:r>
              <w:t xml:space="preserve">furniture_decor</w:t>
            </w:r>
          </w:p>
        </w:tc>
        <w:tc>
          <w:tcPr/>
          <w:p>
            <w:pPr>
              <w:pStyle w:val="Compact"/>
            </w:pPr>
            <w:r>
              <w:t xml:space="preserve">729762.49</w:t>
            </w:r>
          </w:p>
        </w:tc>
        <w:tc>
          <w:tcPr/>
          <w:p>
            <w:pPr>
              <w:pStyle w:val="Compact"/>
            </w:pPr>
            <w:r>
              <w:t xml:space="preserve">6449</w:t>
            </w:r>
          </w:p>
        </w:tc>
        <w:tc>
          <w:tcPr/>
          <w:p>
            <w:pPr>
              <w:pStyle w:val="Compact"/>
            </w:pPr>
            <w:r>
              <w:t xml:space="preserve">8334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cool_stuff</w:t>
            </w:r>
          </w:p>
        </w:tc>
        <w:tc>
          <w:tcPr/>
          <w:p>
            <w:pPr>
              <w:pStyle w:val="Compact"/>
            </w:pPr>
            <w:r>
              <w:t xml:space="preserve">cool_stuff</w:t>
            </w:r>
          </w:p>
        </w:tc>
        <w:tc>
          <w:tcPr/>
          <w:p>
            <w:pPr>
              <w:pStyle w:val="Compact"/>
            </w:pPr>
            <w:r>
              <w:t xml:space="preserve">635290.85</w:t>
            </w:r>
          </w:p>
        </w:tc>
        <w:tc>
          <w:tcPr/>
          <w:p>
            <w:pPr>
              <w:pStyle w:val="Compact"/>
            </w:pPr>
            <w:r>
              <w:t xml:space="preserve">3632</w:t>
            </w:r>
          </w:p>
        </w:tc>
        <w:tc>
          <w:tcPr/>
          <w:p>
            <w:pPr>
              <w:pStyle w:val="Compact"/>
            </w:pPr>
            <w:r>
              <w:t xml:space="preserve">3796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utilidades_domesticas</w:t>
            </w:r>
          </w:p>
        </w:tc>
        <w:tc>
          <w:tcPr/>
          <w:p>
            <w:pPr>
              <w:pStyle w:val="Compact"/>
            </w:pPr>
            <w:r>
              <w:t xml:space="preserve">housewares</w:t>
            </w:r>
          </w:p>
        </w:tc>
        <w:tc>
          <w:tcPr/>
          <w:p>
            <w:pPr>
              <w:pStyle w:val="Compact"/>
            </w:pPr>
            <w:r>
              <w:t xml:space="preserve">632248.66</w:t>
            </w:r>
          </w:p>
        </w:tc>
        <w:tc>
          <w:tcPr/>
          <w:p>
            <w:pPr>
              <w:pStyle w:val="Compact"/>
            </w:pPr>
            <w:r>
              <w:t xml:space="preserve">5884</w:t>
            </w:r>
          </w:p>
        </w:tc>
        <w:tc>
          <w:tcPr/>
          <w:p>
            <w:pPr>
              <w:pStyle w:val="Compact"/>
            </w:pPr>
            <w:r>
              <w:t xml:space="preserve">6964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automotivo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592720.11</w:t>
            </w:r>
          </w:p>
        </w:tc>
        <w:tc>
          <w:tcPr/>
          <w:p>
            <w:pPr>
              <w:pStyle w:val="Compact"/>
            </w:pPr>
            <w:r>
              <w:t xml:space="preserve">3897</w:t>
            </w:r>
          </w:p>
        </w:tc>
        <w:tc>
          <w:tcPr/>
          <w:p>
            <w:pPr>
              <w:pStyle w:val="Compact"/>
            </w:pPr>
            <w:r>
              <w:t xml:space="preserve">4235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ferramentas_jardim</w:t>
            </w:r>
          </w:p>
        </w:tc>
        <w:tc>
          <w:tcPr/>
          <w:p>
            <w:pPr>
              <w:pStyle w:val="Compact"/>
            </w:pPr>
            <w:r>
              <w:t xml:space="preserve">garden_tools</w:t>
            </w:r>
          </w:p>
        </w:tc>
        <w:tc>
          <w:tcPr/>
          <w:p>
            <w:pPr>
              <w:pStyle w:val="Compact"/>
            </w:pPr>
            <w:r>
              <w:t xml:space="preserve">485256.46</w:t>
            </w:r>
          </w:p>
        </w:tc>
        <w:tc>
          <w:tcPr/>
          <w:p>
            <w:pPr>
              <w:pStyle w:val="Compact"/>
            </w:pPr>
            <w:r>
              <w:t xml:space="preserve">3518</w:t>
            </w:r>
          </w:p>
        </w:tc>
        <w:tc>
          <w:tcPr/>
          <w:p>
            <w:pPr>
              <w:pStyle w:val="Compact"/>
            </w:pPr>
            <w:r>
              <w:t xml:space="preserve">4347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платежное-поведение"/>
    <w:p>
      <w:pPr>
        <w:pStyle w:val="Heading3"/>
      </w:pPr>
      <w:r>
        <w:t xml:space="preserve">3.2. Платежное поведение</w:t>
      </w:r>
    </w:p>
    <w:p>
      <w:pPr>
        <w:pStyle w:val="FirstParagraph"/>
      </w:pPr>
      <w:r>
        <w:rPr>
          <w:b/>
          <w:bCs/>
        </w:rPr>
        <w:t xml:space="preserve">SQL КОД РЕШЕНИЯ: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payment_type,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payment_count,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(payment_installments),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avg_installments,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(payment_value),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avg_payment_value,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order_id):</w:t>
      </w:r>
      <w:r>
        <w:rPr>
          <w:rStyle w:val="CharTok"/>
        </w:rPr>
        <w:t xml:space="preserve">:decimal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order_id)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order_payments)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order_share_percent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order_payments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payment_type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payment_count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</w:pPr>
            <w:r>
              <w:t xml:space="preserve">payment_count</w:t>
            </w:r>
          </w:p>
        </w:tc>
        <w:tc>
          <w:tcPr/>
          <w:p>
            <w:pPr>
              <w:pStyle w:val="Compact"/>
            </w:pPr>
            <w:r>
              <w:t xml:space="preserve">avg_installments</w:t>
            </w:r>
          </w:p>
        </w:tc>
        <w:tc>
          <w:tcPr/>
          <w:p>
            <w:pPr>
              <w:pStyle w:val="Compact"/>
            </w:pPr>
            <w:r>
              <w:t xml:space="preserve">avg_payment_value</w:t>
            </w:r>
          </w:p>
        </w:tc>
        <w:tc>
          <w:tcPr/>
          <w:p>
            <w:pPr>
              <w:pStyle w:val="Compact"/>
            </w:pPr>
            <w:r>
              <w:t xml:space="preserve">order_share_percent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credit_card</w:t>
            </w:r>
          </w:p>
        </w:tc>
        <w:tc>
          <w:tcPr/>
          <w:p>
            <w:pPr>
              <w:pStyle w:val="Compact"/>
            </w:pPr>
            <w:r>
              <w:t xml:space="preserve">76795</w:t>
            </w:r>
          </w:p>
        </w:tc>
        <w:tc>
          <w:tcPr/>
          <w:p>
            <w:pPr>
              <w:pStyle w:val="Compact"/>
            </w:pPr>
            <w:r>
              <w:t xml:space="preserve">3.51</w:t>
            </w:r>
          </w:p>
        </w:tc>
        <w:tc>
          <w:tcPr/>
          <w:p>
            <w:pPr>
              <w:pStyle w:val="Compact"/>
            </w:pPr>
            <w:r>
              <w:t xml:space="preserve">163.32</w:t>
            </w:r>
          </w:p>
        </w:tc>
        <w:tc>
          <w:tcPr/>
          <w:p>
            <w:pPr>
              <w:pStyle w:val="Compact"/>
            </w:pPr>
            <w:r>
              <w:t xml:space="preserve">76.94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boleto</w:t>
            </w:r>
          </w:p>
        </w:tc>
        <w:tc>
          <w:tcPr/>
          <w:p>
            <w:pPr>
              <w:pStyle w:val="Compact"/>
            </w:pPr>
            <w:r>
              <w:t xml:space="preserve">19784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145.03</w:t>
            </w:r>
          </w:p>
        </w:tc>
        <w:tc>
          <w:tcPr/>
          <w:p>
            <w:pPr>
              <w:pStyle w:val="Compact"/>
            </w:pPr>
            <w:r>
              <w:t xml:space="preserve">19.90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voucher</w:t>
            </w:r>
          </w:p>
        </w:tc>
        <w:tc>
          <w:tcPr/>
          <w:p>
            <w:pPr>
              <w:pStyle w:val="Compact"/>
            </w:pPr>
            <w:r>
              <w:t xml:space="preserve">5775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65.70</w:t>
            </w:r>
          </w:p>
        </w:tc>
        <w:tc>
          <w:tcPr/>
          <w:p>
            <w:pPr>
              <w:pStyle w:val="Compact"/>
            </w:pPr>
            <w:r>
              <w:t xml:space="preserve">3.89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debit_card</w:t>
            </w:r>
          </w:p>
        </w:tc>
        <w:tc>
          <w:tcPr/>
          <w:p>
            <w:pPr>
              <w:pStyle w:val="Compact"/>
            </w:pPr>
            <w:r>
              <w:t xml:space="preserve">1529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142.57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not_defined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зависимость-оценки-от-скорости-доставки"/>
    <w:p>
      <w:pPr>
        <w:pStyle w:val="Heading3"/>
      </w:pPr>
      <w:r>
        <w:t xml:space="preserve">3.3. Зависимость оценки от скорости доставки</w:t>
      </w:r>
    </w:p>
    <w:p>
      <w:pPr>
        <w:pStyle w:val="FirstParagraph"/>
      </w:pPr>
      <w:r>
        <w:rPr>
          <w:b/>
          <w:bCs/>
        </w:rPr>
        <w:t xml:space="preserve">SQL КОД РЕШЕНИЯ: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delivery_data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o.order_id,</w:t>
      </w:r>
      <w:r>
        <w:br/>
      </w:r>
      <w:r>
        <w:rPr>
          <w:rStyle w:val="NormalTok"/>
        </w:rPr>
        <w:t xml:space="preserve">        r.review_score,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(o.order_delivered_customer_date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o.order_purchase_timestamp))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delivery_days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order_reviews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r.order_id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o.order_delivered_customer_date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o.order_purchase_timestamp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delivery_days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'До 5 дней включительно'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delivery_days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'От 6 до 10 дней включительно'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'Более 10 дней'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delivery_interval,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(review_score),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avg_review_score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delivery_data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delivery_days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'До 5 дней включительно'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delivery_days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'От 6 до 10 дней включительно'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'Более 10 дней'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delivery_days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delivery_days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delivery_interval</w:t>
            </w:r>
          </w:p>
        </w:tc>
        <w:tc>
          <w:tcPr/>
          <w:p>
            <w:pPr>
              <w:pStyle w:val="Compact"/>
            </w:pPr>
            <w:r>
              <w:t xml:space="preserve">order_count</w:t>
            </w:r>
          </w:p>
        </w:tc>
        <w:tc>
          <w:tcPr/>
          <w:p>
            <w:pPr>
              <w:pStyle w:val="Compact"/>
            </w:pPr>
            <w:r>
              <w:t xml:space="preserve">avg_review_score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5 дней включительно</w:t>
            </w:r>
          </w:p>
        </w:tc>
        <w:tc>
          <w:tcPr/>
          <w:p>
            <w:pPr>
              <w:pStyle w:val="Compact"/>
            </w:pPr>
            <w:r>
              <w:t xml:space="preserve">19008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6 до 10 дней включительно</w:t>
            </w:r>
          </w:p>
        </w:tc>
        <w:tc>
          <w:tcPr/>
          <w:p>
            <w:pPr>
              <w:pStyle w:val="Compact"/>
            </w:pPr>
            <w:r>
              <w:t xml:space="preserve">32408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Более 10 дней</w:t>
            </w:r>
          </w:p>
        </w:tc>
        <w:tc>
          <w:tcPr/>
          <w:p>
            <w:pPr>
              <w:pStyle w:val="Compact"/>
            </w:pPr>
            <w:r>
              <w:t xml:space="preserve">43451</w:t>
            </w:r>
          </w:p>
        </w:tc>
        <w:tc>
          <w:tcPr/>
          <w:p>
            <w:pPr>
              <w:pStyle w:val="Compact"/>
            </w:pPr>
            <w:r>
              <w:t xml:space="preserve">3.90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эффективность-продавцов"/>
    <w:p>
      <w:pPr>
        <w:pStyle w:val="Heading3"/>
      </w:pPr>
      <w:r>
        <w:t xml:space="preserve">3.4. Эффективность продавцов</w:t>
      </w:r>
    </w:p>
    <w:p>
      <w:pPr>
        <w:pStyle w:val="FirstParagraph"/>
      </w:pPr>
      <w:r>
        <w:rPr>
          <w:b/>
          <w:bCs/>
        </w:rPr>
        <w:t xml:space="preserve">SQL КОД РЕШЕНИЯ: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oi.seller_id,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oi.order_id)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unique_orders,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o.customer_id)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unique_customers,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total_items,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(oi.price),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total_revenue,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(oi.freight_value),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avg_freight_per_item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oi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oi.seller_id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oi.seller_id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unique_orders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seller_id</w:t>
            </w:r>
          </w:p>
        </w:tc>
        <w:tc>
          <w:tcPr/>
          <w:p>
            <w:pPr>
              <w:pStyle w:val="Compact"/>
            </w:pPr>
            <w:r>
              <w:t xml:space="preserve">unique_orders</w:t>
            </w:r>
          </w:p>
        </w:tc>
        <w:tc>
          <w:tcPr/>
          <w:p>
            <w:pPr>
              <w:pStyle w:val="Compact"/>
            </w:pPr>
            <w:r>
              <w:t xml:space="preserve">unique_customers</w:t>
            </w:r>
          </w:p>
        </w:tc>
        <w:tc>
          <w:tcPr/>
          <w:p>
            <w:pPr>
              <w:pStyle w:val="Compact"/>
            </w:pPr>
            <w:r>
              <w:t xml:space="preserve">total_items</w:t>
            </w:r>
          </w:p>
        </w:tc>
        <w:tc>
          <w:tcPr/>
          <w:p>
            <w:pPr>
              <w:pStyle w:val="Compact"/>
            </w:pPr>
            <w:r>
              <w:t xml:space="preserve">total_revenue</w:t>
            </w:r>
          </w:p>
        </w:tc>
        <w:tc>
          <w:tcPr/>
          <w:p>
            <w:pPr>
              <w:pStyle w:val="Compact"/>
            </w:pPr>
            <w:r>
              <w:t xml:space="preserve">avg_freight_per_item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6560211a19b47992c3666cc44a7e94c0</w:t>
            </w:r>
          </w:p>
        </w:tc>
        <w:tc>
          <w:tcPr/>
          <w:p>
            <w:pPr>
              <w:pStyle w:val="Compact"/>
            </w:pPr>
            <w:r>
              <w:t xml:space="preserve">1854</w:t>
            </w:r>
          </w:p>
        </w:tc>
        <w:tc>
          <w:tcPr/>
          <w:p>
            <w:pPr>
              <w:pStyle w:val="Compact"/>
            </w:pPr>
            <w:r>
              <w:t xml:space="preserve">1854</w:t>
            </w:r>
          </w:p>
        </w:tc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</w:pPr>
            <w:r>
              <w:t xml:space="preserve">123304.83</w:t>
            </w:r>
          </w:p>
        </w:tc>
        <w:tc>
          <w:tcPr/>
          <w:p>
            <w:pPr>
              <w:pStyle w:val="Compact"/>
            </w:pPr>
            <w:r>
              <w:t xml:space="preserve">13.75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4a3ca9315b744ce9f8e9374361493884</w:t>
            </w:r>
          </w:p>
        </w:tc>
        <w:tc>
          <w:tcPr/>
          <w:p>
            <w:pPr>
              <w:pStyle w:val="Compact"/>
            </w:pPr>
            <w:r>
              <w:t xml:space="preserve">1806</w:t>
            </w:r>
          </w:p>
        </w:tc>
        <w:tc>
          <w:tcPr/>
          <w:p>
            <w:pPr>
              <w:pStyle w:val="Compact"/>
            </w:pPr>
            <w:r>
              <w:t xml:space="preserve">1806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200472.92</w:t>
            </w:r>
          </w:p>
        </w:tc>
        <w:tc>
          <w:tcPr/>
          <w:p>
            <w:pPr>
              <w:pStyle w:val="Compact"/>
            </w:pPr>
            <w:r>
              <w:t xml:space="preserve">17.65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cc419e0650a3c5ba77189a1882b7556a</w:t>
            </w:r>
          </w:p>
        </w:tc>
        <w:tc>
          <w:tcPr/>
          <w:p>
            <w:pPr>
              <w:pStyle w:val="Compact"/>
            </w:pPr>
            <w:r>
              <w:t xml:space="preserve">1706</w:t>
            </w:r>
          </w:p>
        </w:tc>
        <w:tc>
          <w:tcPr/>
          <w:p>
            <w:pPr>
              <w:pStyle w:val="Compact"/>
            </w:pPr>
            <w:r>
              <w:t xml:space="preserve">1706</w:t>
            </w:r>
          </w:p>
        </w:tc>
        <w:tc>
          <w:tcPr/>
          <w:p>
            <w:pPr>
              <w:pStyle w:val="Compact"/>
            </w:pPr>
            <w:r>
              <w:t xml:space="preserve">1775</w:t>
            </w:r>
          </w:p>
        </w:tc>
        <w:tc>
          <w:tcPr/>
          <w:p>
            <w:pPr>
              <w:pStyle w:val="Compact"/>
            </w:pPr>
            <w:r>
              <w:t xml:space="preserve">104288.42</w:t>
            </w:r>
          </w:p>
        </w:tc>
        <w:tc>
          <w:tcPr/>
          <w:p>
            <w:pPr>
              <w:pStyle w:val="Compact"/>
            </w:pPr>
            <w:r>
              <w:t xml:space="preserve">14.46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1f50f920176fa81dab994f9023523100</w:t>
            </w:r>
          </w:p>
        </w:tc>
        <w:tc>
          <w:tcPr/>
          <w:p>
            <w:pPr>
              <w:pStyle w:val="Compact"/>
            </w:pPr>
            <w:r>
              <w:t xml:space="preserve">1404</w:t>
            </w:r>
          </w:p>
        </w:tc>
        <w:tc>
          <w:tcPr/>
          <w:p>
            <w:pPr>
              <w:pStyle w:val="Compact"/>
            </w:pPr>
            <w:r>
              <w:t xml:space="preserve">1404</w:t>
            </w:r>
          </w:p>
        </w:tc>
        <w:tc>
          <w:tcPr/>
          <w:p>
            <w:pPr>
              <w:pStyle w:val="Compact"/>
            </w:pPr>
            <w:r>
              <w:t xml:space="preserve">1931</w:t>
            </w:r>
          </w:p>
        </w:tc>
        <w:tc>
          <w:tcPr/>
          <w:p>
            <w:pPr>
              <w:pStyle w:val="Compact"/>
            </w:pPr>
            <w:r>
              <w:t xml:space="preserve">106939.21</w:t>
            </w:r>
          </w:p>
        </w:tc>
        <w:tc>
          <w:tcPr/>
          <w:p>
            <w:pPr>
              <w:pStyle w:val="Compact"/>
            </w:pPr>
            <w:r>
              <w:t xml:space="preserve">18.21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da8622b14eb17ae2831f4ac5b9dab84a</w:t>
            </w:r>
          </w:p>
        </w:tc>
        <w:tc>
          <w:tcPr/>
          <w:p>
            <w:pPr>
              <w:pStyle w:val="Compact"/>
            </w:pPr>
            <w:r>
              <w:t xml:space="preserve">1314</w:t>
            </w:r>
          </w:p>
        </w:tc>
        <w:tc>
          <w:tcPr/>
          <w:p>
            <w:pPr>
              <w:pStyle w:val="Compact"/>
            </w:pPr>
            <w:r>
              <w:t xml:space="preserve">1314</w:t>
            </w:r>
          </w:p>
        </w:tc>
        <w:tc>
          <w:tcPr/>
          <w:p>
            <w:pPr>
              <w:pStyle w:val="Compact"/>
            </w:pPr>
            <w:r>
              <w:t xml:space="preserve">1551</w:t>
            </w:r>
          </w:p>
        </w:tc>
        <w:tc>
          <w:tcPr/>
          <w:p>
            <w:pPr>
              <w:pStyle w:val="Compact"/>
            </w:pPr>
            <w:r>
              <w:t xml:space="preserve">160236.57</w:t>
            </w:r>
          </w:p>
        </w:tc>
        <w:tc>
          <w:tcPr/>
          <w:p>
            <w:pPr>
              <w:pStyle w:val="Compact"/>
            </w:pPr>
            <w:r>
              <w:t xml:space="preserve">16.09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955fee9216a65b617aa5c0531780ce60</w:t>
            </w:r>
          </w:p>
        </w:tc>
        <w:tc>
          <w:tcPr/>
          <w:p>
            <w:pPr>
              <w:pStyle w:val="Compact"/>
            </w:pPr>
            <w:r>
              <w:t xml:space="preserve">1287</w:t>
            </w:r>
          </w:p>
        </w:tc>
        <w:tc>
          <w:tcPr/>
          <w:p>
            <w:pPr>
              <w:pStyle w:val="Compact"/>
            </w:pPr>
            <w:r>
              <w:t xml:space="preserve">1287</w:t>
            </w:r>
          </w:p>
        </w:tc>
        <w:tc>
          <w:tcPr/>
          <w:p>
            <w:pPr>
              <w:pStyle w:val="Compact"/>
            </w:pPr>
            <w:r>
              <w:t xml:space="preserve">1499</w:t>
            </w:r>
          </w:p>
        </w:tc>
        <w:tc>
          <w:tcPr/>
          <w:p>
            <w:pPr>
              <w:pStyle w:val="Compact"/>
            </w:pPr>
            <w:r>
              <w:t xml:space="preserve">135171.70</w:t>
            </w:r>
          </w:p>
        </w:tc>
        <w:tc>
          <w:tcPr/>
          <w:p>
            <w:pPr>
              <w:pStyle w:val="Compact"/>
            </w:pPr>
            <w:r>
              <w:t xml:space="preserve">16.97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7a67c85e85bb2ce8582c35f2203ad736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1160</w:t>
            </w:r>
          </w:p>
        </w:tc>
        <w:tc>
          <w:tcPr/>
          <w:p>
            <w:pPr>
              <w:pStyle w:val="Compact"/>
            </w:pPr>
            <w:r>
              <w:t xml:space="preserve">1171</w:t>
            </w:r>
          </w:p>
        </w:tc>
        <w:tc>
          <w:tcPr/>
          <w:p>
            <w:pPr>
              <w:pStyle w:val="Compact"/>
            </w:pPr>
            <w:r>
              <w:t xml:space="preserve">141745.53</w:t>
            </w:r>
          </w:p>
        </w:tc>
        <w:tc>
          <w:tcPr/>
          <w:p>
            <w:pPr>
              <w:pStyle w:val="Compact"/>
            </w:pPr>
            <w:r>
              <w:t xml:space="preserve">17.85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ea8482cd71df3c1969d7b9473ff13abc</w:t>
            </w:r>
          </w:p>
        </w:tc>
        <w:tc>
          <w:tcPr/>
          <w:p>
            <w:pPr>
              <w:pStyle w:val="Compact"/>
            </w:pPr>
            <w:r>
              <w:t xml:space="preserve">1146</w:t>
            </w:r>
          </w:p>
        </w:tc>
        <w:tc>
          <w:tcPr/>
          <w:p>
            <w:pPr>
              <w:pStyle w:val="Compact"/>
            </w:pPr>
            <w:r>
              <w:t xml:space="preserve">1146</w:t>
            </w:r>
          </w:p>
        </w:tc>
        <w:tc>
          <w:tcPr/>
          <w:p>
            <w:pPr>
              <w:pStyle w:val="Compact"/>
            </w:pPr>
            <w:r>
              <w:t xml:space="preserve">1203</w:t>
            </w:r>
          </w:p>
        </w:tc>
        <w:tc>
          <w:tcPr/>
          <w:p>
            <w:pPr>
              <w:pStyle w:val="Compact"/>
            </w:pPr>
            <w:r>
              <w:t xml:space="preserve">37177.52</w:t>
            </w:r>
          </w:p>
        </w:tc>
        <w:tc>
          <w:tcPr/>
          <w:p>
            <w:pPr>
              <w:pStyle w:val="Compact"/>
            </w:pPr>
            <w:r>
              <w:t xml:space="preserve">14.58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4869f7a5dfa277a7dca6462dcf3b52b2</w:t>
            </w:r>
          </w:p>
        </w:tc>
        <w:tc>
          <w:tcPr/>
          <w:p>
            <w:pPr>
              <w:pStyle w:val="Compact"/>
            </w:pPr>
            <w:r>
              <w:t xml:space="preserve">1132</w:t>
            </w:r>
          </w:p>
        </w:tc>
        <w:tc>
          <w:tcPr/>
          <w:p>
            <w:pPr>
              <w:pStyle w:val="Compact"/>
            </w:pPr>
            <w:r>
              <w:t xml:space="preserve">1132</w:t>
            </w:r>
          </w:p>
        </w:tc>
        <w:tc>
          <w:tcPr/>
          <w:p>
            <w:pPr>
              <w:pStyle w:val="Compact"/>
            </w:pPr>
            <w:r>
              <w:t xml:space="preserve">1156</w:t>
            </w:r>
          </w:p>
        </w:tc>
        <w:tc>
          <w:tcPr/>
          <w:p>
            <w:pPr>
              <w:pStyle w:val="Compact"/>
            </w:pPr>
            <w:r>
              <w:t xml:space="preserve">229472.63</w:t>
            </w:r>
          </w:p>
        </w:tc>
        <w:tc>
          <w:tcPr/>
          <w:p>
            <w:pPr>
              <w:pStyle w:val="Compact"/>
            </w:pPr>
            <w:r>
              <w:t xml:space="preserve">17.45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3d871de0142ce09b7081e2b9d1733cb1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t xml:space="preserve">1147</w:t>
            </w:r>
          </w:p>
        </w:tc>
        <w:tc>
          <w:tcPr/>
          <w:p>
            <w:pPr>
              <w:pStyle w:val="Compact"/>
            </w:pPr>
            <w:r>
              <w:t xml:space="preserve">94914.20</w:t>
            </w:r>
          </w:p>
        </w:tc>
        <w:tc>
          <w:tcPr/>
          <w:p>
            <w:pPr>
              <w:pStyle w:val="Compact"/>
            </w:pPr>
            <w:r>
              <w:t xml:space="preserve">19.56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8" w:name="задание-4.-построение-дашборда-в-grafana"/>
    <w:p>
      <w:pPr>
        <w:pStyle w:val="Heading2"/>
      </w:pPr>
      <w:r>
        <w:t xml:space="preserve">Задание 4. Построение дашборда в Grafana</w:t>
      </w:r>
    </w:p>
    <w:bookmarkStart w:id="26" w:name="динамика-числа-заказов"/>
    <w:p>
      <w:pPr>
        <w:pStyle w:val="Heading3"/>
      </w:pPr>
      <w:r>
        <w:t xml:space="preserve">4.1. Динамика числа заказов</w:t>
      </w:r>
    </w:p>
    <w:p>
      <w:pPr>
        <w:pStyle w:val="FirstParagraph"/>
      </w:pPr>
      <w:r>
        <w:rPr>
          <w:b/>
          <w:bCs/>
        </w:rPr>
        <w:t xml:space="preserve">Визуализация:</w:t>
      </w:r>
    </w:p>
    <w:p>
      <w:pPr>
        <w:pStyle w:val="CaptionedFigure"/>
      </w:pPr>
      <w:r>
        <w:drawing>
          <wp:inline>
            <wp:extent cx="5334000" cy="1910779"/>
            <wp:effectExtent b="0" l="0" r="0" t="0"/>
            <wp:docPr descr="Динамика числа заказов по месяцам" title="" id="24" name="Picture"/>
            <a:graphic>
              <a:graphicData uri="http://schemas.openxmlformats.org/drawingml/2006/picture">
                <pic:pic>
                  <pic:nvPicPr>
                    <pic:cNvPr descr="screenshots/03_grafana_4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числа заказов по месяцам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График демонстрирует устойчивый рост числа заказов с сентября 2016 по август 2018 года. Начальный период (сентябрь 2016 - начало 2017) характеризуется низким объемом (~300-500 заказов в месяц), что типично для стартапа. В течение 2017 года наблюдается экспоненциальный рост с ~500 до ~7000 заказов в месяц, что свидетельствует об успешном масштабировании бизнеса. Пиковый период (ноябрь 2017 - август 2018) показывает стабильно высокий объем заказов (6000-7500 в месяц) с максимумом в ноябре 2017 (~7500 заказов), вероятно связанным с сезонностью. Резкое падение в сентябре 2018 до ~600 заказов может указывать на неполные данные. Общий рост составил 20-кратное увеличение объема заказов.</w:t>
      </w:r>
    </w:p>
    <w:p>
      <w:r>
        <w:pict>
          <v:rect style="width:0;height:1.5pt" o:hralign="center" o:hrstd="t" o:hr="t"/>
        </w:pict>
      </w:r>
    </w:p>
    <w:bookmarkEnd w:id="26"/>
    <w:bookmarkStart w:id="30" w:name="количество-заказов-по-оценкам"/>
    <w:p>
      <w:pPr>
        <w:pStyle w:val="Heading3"/>
      </w:pPr>
      <w:r>
        <w:t xml:space="preserve">4.2. Количество заказов по оценкам</w:t>
      </w:r>
    </w:p>
    <w:p>
      <w:pPr>
        <w:pStyle w:val="FirstParagraph"/>
      </w:pPr>
      <w:r>
        <w:rPr>
          <w:b/>
          <w:bCs/>
        </w:rPr>
        <w:t xml:space="preserve">Визуализация:</w:t>
      </w:r>
    </w:p>
    <w:p>
      <w:pPr>
        <w:pStyle w:val="CaptionedFigure"/>
      </w:pPr>
      <w:r>
        <w:drawing>
          <wp:inline>
            <wp:extent cx="5334000" cy="3764455"/>
            <wp:effectExtent b="0" l="0" r="0" t="0"/>
            <wp:docPr descr="Распределение по оценкам" title="" id="28" name="Picture"/>
            <a:graphic>
              <a:graphicData uri="http://schemas.openxmlformats.org/drawingml/2006/picture">
                <pic:pic>
                  <pic:nvPicPr>
                    <pic:cNvPr descr="screenshots/04_grafana_4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по оценкам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Распределение оценок демонстрирует высокий уровень удовлетворенности клиентов с явной асимметрией в сторону положительных оценок. Оценку 5 звезд получили ~57,000 заказов (57%), 4 звезды - ~19,000 (19%), что в сумме составляет 76% положительных отзывов. Оценку 1 звезда получили ~11,500 заказов (12%), что превышает количество оценок 2 и 3 звезды вместе взятых (~11,500 заказов). Такое бимодальное распределение с высоким пиком на минимальной оценке требует внимания - необходимо проанализировать причины крайне негативных отзывов. В целом высокий процент максимальных оценок (57%) свидетельствует о качественном сервисе, но существует значительный сегмент недовольных покупателей.</w:t>
      </w:r>
    </w:p>
    <w:p>
      <w:r>
        <w:pict>
          <v:rect style="width:0;height:1.5pt" o:hralign="center" o:hrstd="t" o:hr="t"/>
        </w:pict>
      </w:r>
    </w:p>
    <w:bookmarkEnd w:id="30"/>
    <w:bookmarkStart w:id="34" w:name="распределение-способов-оплаты"/>
    <w:p>
      <w:pPr>
        <w:pStyle w:val="Heading3"/>
      </w:pPr>
      <w:r>
        <w:t xml:space="preserve">4.3. Распределение способов оплаты</w:t>
      </w:r>
    </w:p>
    <w:p>
      <w:pPr>
        <w:pStyle w:val="FirstParagraph"/>
      </w:pPr>
      <w:r>
        <w:rPr>
          <w:b/>
          <w:bCs/>
        </w:rPr>
        <w:t xml:space="preserve">Визуализация:</w:t>
      </w:r>
    </w:p>
    <w:p>
      <w:pPr>
        <w:pStyle w:val="CaptionedFigure"/>
      </w:pPr>
      <w:r>
        <w:drawing>
          <wp:inline>
            <wp:extent cx="5334000" cy="3771013"/>
            <wp:effectExtent b="0" l="0" r="0" t="0"/>
            <wp:docPr descr="Способы оплаты" title="" id="32" name="Picture"/>
            <a:graphic>
              <a:graphicData uri="http://schemas.openxmlformats.org/drawingml/2006/picture">
                <pic:pic>
                  <pic:nvPicPr>
                    <pic:cNvPr descr="screenshots/05_grafana_4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Способы оплаты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Анализ способов оплаты показывает доминирование кредитных карт: 76,505 заказов (~77%) оплачены кредитными картами, 19,784 (~20%) - через boleto (банковский ваучер, популярный в Бразилии способ оплаты для клиентов без банковских карт), 3,866 (~4%) - купонами, и лишь 1,528 (~2%) - дебетовыми картами. Кредитные карты доминируют с большим отрывом, что типично для e-commerce. Значительная доля boleto (20%) характерна для бразильского рынка. Низкая доля дебетовых карт может быть связана с отсутствием программ рассрочки для этого способа оплаты. Система поддерживает разнообразные способы оплаты, что расширяет охват аудитории.</w:t>
      </w:r>
    </w:p>
    <w:p>
      <w:r>
        <w:pict>
          <v:rect style="width:0;height:1.5pt" o:hralign="center" o:hrstd="t" o:hr="t"/>
        </w:pict>
      </w:r>
    </w:p>
    <w:bookmarkEnd w:id="34"/>
    <w:bookmarkStart w:id="38" w:name="топ-товарных-категорий-по-объему-продаж"/>
    <w:p>
      <w:pPr>
        <w:pStyle w:val="Heading3"/>
      </w:pPr>
      <w:r>
        <w:t xml:space="preserve">4.4. Топ товарных категорий по объему продаж</w:t>
      </w:r>
    </w:p>
    <w:p>
      <w:pPr>
        <w:pStyle w:val="FirstParagraph"/>
      </w:pPr>
      <w:r>
        <w:rPr>
          <w:b/>
          <w:bCs/>
        </w:rPr>
        <w:t xml:space="preserve">Визуализация:</w:t>
      </w:r>
    </w:p>
    <w:p>
      <w:pPr>
        <w:pStyle w:val="CaptionedFigure"/>
      </w:pPr>
      <w:r>
        <w:drawing>
          <wp:inline>
            <wp:extent cx="5334000" cy="1914769"/>
            <wp:effectExtent b="0" l="0" r="0" t="0"/>
            <wp:docPr descr="ТОП-10 категорий" title="" id="36" name="Picture"/>
            <a:graphic>
              <a:graphicData uri="http://schemas.openxmlformats.org/drawingml/2006/picture">
                <pic:pic>
                  <pic:nvPicPr>
                    <pic:cNvPr descr="screenshots/06_grafana_4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ТОП-10 категорий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Топ-10 категорий по выручке возглавляют Health &amp; Beauty (~$1,260K), Watches &amp; Gifts (~$1,205K) и Bed, Bath &amp; Table (~$1,037K). Первые две категории практически равны по выручке и генерируют ~35% от суммарной выручки топ-10. Средняя группа (Sports &amp; Leisure ~$988K, Computers &amp; Accessories ~$912K, Furniture &amp; Decor ~$730K) показывает равномерное распределение выручки. Разрыв между 1-м и 10-м местом (Garden Tools ~$485K) составляет 2.6 раза. Платформа успешна в продаже товаров личного использования (красота, часы, дом). Диверсифицированный портфель категорий снижает риски зависимости от одной ниши и демонстрирует потенциал роста в категориях с высоким чеком (электроника, мебель).</w:t>
      </w:r>
    </w:p>
    <w:p>
      <w:r>
        <w:pict>
          <v:rect style="width:0;height:1.5pt" o:hralign="center" o:hrstd="t" o:hr="t"/>
        </w:pict>
      </w:r>
    </w:p>
    <w:bookmarkEnd w:id="38"/>
    <w:bookmarkStart w:id="47" w:name="дополнительные-визуализации"/>
    <w:p>
      <w:pPr>
        <w:pStyle w:val="Heading3"/>
      </w:pPr>
      <w:r>
        <w:t xml:space="preserve">4.5. Дополнительные визуализации</w:t>
      </w:r>
    </w:p>
    <w:bookmarkStart w:id="42" w:name="статистика-по-штатам"/>
    <w:p>
      <w:pPr>
        <w:pStyle w:val="Heading4"/>
      </w:pPr>
      <w:r>
        <w:t xml:space="preserve">4.5.1. Статистика по штатам</w:t>
      </w:r>
    </w:p>
    <w:p>
      <w:pPr>
        <w:pStyle w:val="FirstParagraph"/>
      </w:pPr>
      <w:r>
        <w:rPr>
          <w:b/>
          <w:bCs/>
        </w:rPr>
        <w:t xml:space="preserve">Визуализация:</w:t>
      </w:r>
    </w:p>
    <w:p>
      <w:pPr>
        <w:pStyle w:val="CaptionedFigure"/>
      </w:pPr>
      <w:r>
        <w:drawing>
          <wp:inline>
            <wp:extent cx="5334000" cy="953390"/>
            <wp:effectExtent b="0" l="0" r="0" t="0"/>
            <wp:docPr descr="Статистика по штатам" title="" id="40" name="Picture"/>
            <a:graphic>
              <a:graphicData uri="http://schemas.openxmlformats.org/drawingml/2006/picture">
                <pic:pic>
                  <pic:nvPicPr>
                    <pic:cNvPr descr="screenshots/07_grafana_4_5_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по штатам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Анализ топ-15 штатов выявляет сильную концентрацию бизнеса на юго-востоке Бразилии: SP (São Paulo) лидирует с 40,975 заказами, RJ (Rio de Janeiro) - 12,433, MG (Minas Gerais) - 11,302, что составляет ~65% всех заказов. Время доставки варьируется от 11.5 дней (SP) до 38.2 дней (RR - Roraima), при этом наблюдается четкая обратная зависимость между временем доставки и рейтингом: штаты с доставкой &gt;30 дней имеют рейтинг &lt;3.5 (AP - 3.40, RR - 3.31), тогда как штаты с доставкой &lt;15 дней имеют рейтинг &gt;3.9. Крупные городские центры (SP, RJ, DF) демонстрируют лучшие показатели доставки (11-14 дней), удаленные северные регионы (RR, AP, AM) - худшие (27-38 дней). Улучшение логистики в удаленных регионах может значительно повысить их рейтинги и расширить клиентскую базу.</w:t>
      </w:r>
    </w:p>
    <w:p>
      <w:r>
        <w:pict>
          <v:rect style="width:0;height:1.5pt" o:hralign="center" o:hrstd="t" o:hr="t"/>
        </w:pict>
      </w:r>
    </w:p>
    <w:bookmarkEnd w:id="42"/>
    <w:bookmarkStart w:id="46" w:name="средняя-стоимость-заказа"/>
    <w:p>
      <w:pPr>
        <w:pStyle w:val="Heading4"/>
      </w:pPr>
      <w:r>
        <w:t xml:space="preserve">4.5.2. Средняя стоимость заказа</w:t>
      </w:r>
    </w:p>
    <w:p>
      <w:pPr>
        <w:pStyle w:val="FirstParagraph"/>
      </w:pPr>
      <w:r>
        <w:rPr>
          <w:b/>
          <w:bCs/>
        </w:rPr>
        <w:t xml:space="preserve">Визуализация:</w:t>
      </w:r>
    </w:p>
    <w:p>
      <w:pPr>
        <w:pStyle w:val="CaptionedFigure"/>
      </w:pPr>
      <w:r>
        <w:drawing>
          <wp:inline>
            <wp:extent cx="5334000" cy="1931168"/>
            <wp:effectExtent b="0" l="0" r="0" t="0"/>
            <wp:docPr descr="Средняя стоимость заказа" title="" id="44" name="Picture"/>
            <a:graphic>
              <a:graphicData uri="http://schemas.openxmlformats.org/drawingml/2006/picture">
                <pic:pic>
                  <pic:nvPicPr>
                    <pic:cNvPr descr="screenshots/08_grafana_4_5_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Средняя стоимость заказа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График средней стоимости заказа (AOV) демонстрирует нисходящий тренд с $130 (начало 2017) до $100 (середина 2018). Период становления (сентябрь 2016 - начало 2017) характеризуется высокой волатильностью ($80-150) из-за малого количества заказов. В 2017 году AOV стабилизировался в диапазоне $115-125, после чего началось постепенное снижение. Обратная корреляция с объемом заказов (задание 4.1) показывает, что рост заказов с 500 до 7000 в месяц (+1400%) достигнут за счет снижения среднего чека на 20-25%. Это указывает на выбранную стратегию массового рынка с расширением аудитории в более массовые сегменты. Несмотря на падение AOV, общий рост выручки составил ~1020%, что является отличным результатом. Потенциал роста существует через программы повышения среднего чека (bundle deals, free shipping threshold), upselling и премиум-категории.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полный-дашборд"/>
    <w:p>
      <w:pPr>
        <w:pStyle w:val="Heading2"/>
      </w:pPr>
      <w:r>
        <w:t xml:space="preserve">Полный дашборд</w:t>
      </w:r>
    </w:p>
    <w:p>
      <w:pPr>
        <w:pStyle w:val="CaptionedFigure"/>
      </w:pPr>
      <w:r>
        <w:drawing>
          <wp:inline>
            <wp:extent cx="5334000" cy="3012722"/>
            <wp:effectExtent b="0" l="0" r="0" t="0"/>
            <wp:docPr descr="Полный дашборд Grafana" title="" id="50" name="Picture"/>
            <a:graphic>
              <a:graphicData uri="http://schemas.openxmlformats.org/drawingml/2006/picture">
                <pic:pic>
                  <pic:nvPicPr>
                    <pic:cNvPr descr="screenshots/09_full_dashboar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Полный дашборд Grafana</w:t>
      </w:r>
    </w:p>
    <w:p>
      <w:pPr>
        <w:pStyle w:val="BodyText"/>
      </w:pPr>
      <w:r>
        <w:t xml:space="preserve">Интерактивный дашборд Grafana</w:t>
      </w:r>
      <w:r>
        <w:t xml:space="preserve"> </w:t>
      </w:r>
      <w:r>
        <w:t xml:space="preserve">“Ecommerce Analytics”</w:t>
      </w:r>
      <w:r>
        <w:t xml:space="preserve"> </w:t>
      </w:r>
      <w:r>
        <w:t xml:space="preserve">содержит 6 панелей с визуализациями, позволяющих получить комплексное представление о состоянии e-commerce бизнеса и выявить ключевые тренды.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2025-12-12T19:55:02Z</dcterms:created>
  <dcterms:modified xsi:type="dcterms:W3CDTF">2025-12-12T19:55:02Z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