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Практическая работа № 2</w:t>
      </w:r>
    </w:p>
    <w:p>
      <w:pPr>
        <w:pStyle w:val="Subtitle"/>
      </w:pPr>
      <w:r>
        <w:t xml:space="preserve">Проектирование диаграммы прецедентов информационной системы в нотации UML</w:t>
      </w:r>
    </w:p>
    <w:p>
      <w:pPr>
        <w:pStyle w:val="Author"/>
      </w:pPr>
      <w:r>
        <w:t xml:space="preserve">[ФИО студента]</w:t>
      </w:r>
    </w:p>
    <w:p>
      <w:pPr>
        <w:pStyle w:val="Date"/>
      </w:pPr>
      <w:r>
        <w:t xml:space="preserve">02.11.2025</w:t>
      </w:r>
    </w:p>
    <w:p>
      <w:pPr>
        <w:pStyle w:val="TOCHeading0"/>
      </w:pPr>
      <w:r>
        <w:t xml:space="preserve">СОДЕРЖАНИЕ</w:t>
      </w:r>
    </w:p>
    <w:p>
      <w:pPr>
        <w:pStyle w:val="Content"/>
      </w:pPr>
      <w:hyperlink w:anchor="цель-работы">
        <w:r>
          <w:rPr>
            <w:rStyle w:val="Hyperlink"/>
          </w:rPr>
          <w:t xml:space="preserve">Цель работы</w:t>
        </w:r>
      </w:hyperlink>
    </w:p>
    <w:p>
      <w:pPr>
        <w:pStyle w:val="Content"/>
      </w:pPr>
      <w:hyperlink w:anchor="теоретическая-часть">
        <w:r>
          <w:rPr>
            <w:rStyle w:val="Hyperlink"/>
          </w:rPr>
          <w:t xml:space="preserve">Теоретическая часть</w:t>
        </w:r>
      </w:hyperlink>
    </w:p>
    <w:p>
      <w:pPr>
        <w:pStyle w:val="Content"/>
      </w:pPr>
      <w:hyperlink w:anchor="практическая-часть">
        <w:r>
          <w:rPr>
            <w:rStyle w:val="Hyperlink"/>
          </w:rPr>
          <w:t xml:space="preserve">Практическая часть</w:t>
        </w:r>
      </w:hyperlink>
    </w:p>
    <w:p>
      <w:pPr>
        <w:pStyle w:val="Content"/>
      </w:pPr>
      <w:hyperlink w:anchor="глоссарий-терминов">
        <w:r>
          <w:rPr>
            <w:rStyle w:val="Hyperlink"/>
          </w:rPr>
          <w:t xml:space="preserve">Глоссарий терминов</w:t>
        </w:r>
      </w:hyperlink>
    </w:p>
    <w:p>
      <w:pPr>
        <w:pStyle w:val="Content"/>
      </w:pPr>
      <w:hyperlink w:anchor="ответы-на-контрольные-вопросы">
        <w:r>
          <w:rPr>
            <w:rStyle w:val="Hyperlink"/>
          </w:rPr>
          <w:t xml:space="preserve">Ответы на контрольные вопросы</w:t>
        </w:r>
      </w:hyperlink>
    </w:p>
    <w:p>
      <w:pPr>
        <w:pStyle w:val="Content"/>
      </w:pPr>
      <w:hyperlink w:anchor="выводы">
        <w:r>
          <w:rPr>
            <w:rStyle w:val="Hyperlink"/>
          </w:rPr>
          <w:t xml:space="preserve">Выводы</w:t>
        </w:r>
      </w:hyperlink>
    </w:p>
    <w:bookmarkStart w:id="16" w:name="цель-работы"/>
    <w:p>
      <w:pPr>
        <w:pStyle w:val="Heading1"/>
      </w:pPr>
      <w:r>
        <w:t xml:space="preserve">Цель работы</w:t>
      </w:r>
    </w:p>
    <w:p>
      <w:pPr>
        <w:pStyle w:val="Normal"/>
      </w:pPr>
      <w:r>
        <w:t xml:space="preserve">Основная цель работы – создать диаграмму прецедентов (use case) для информационной системы SportRent (система управления арендой спортивного оборудования). В процессе достижения цели получены навыки создания и использования диаграмм UML.</w:t>
      </w:r>
    </w:p>
    <w:bookmarkEnd w:id="16"/>
    <w:bookmarkStart w:id="23" w:name="теоретическая-часть"/>
    <w:p>
      <w:pPr>
        <w:pStyle w:val="Heading1"/>
      </w:pPr>
      <w:r>
        <w:t xml:space="preserve">Теоретическая часть</w:t>
      </w:r>
    </w:p>
    <w:bookmarkStart w:id="17" w:name="назначение-диаграммы-прецедентов"/>
    <w:p>
      <w:pPr>
        <w:pStyle w:val="Heading2"/>
      </w:pPr>
      <w:r>
        <w:t xml:space="preserve">Назначение диаграммы прецедентов</w:t>
      </w:r>
    </w:p>
    <w:p>
      <w:pPr>
        <w:pStyle w:val="Normal"/>
      </w:pPr>
      <w:r>
        <w:t xml:space="preserve">Диаграмма прецедентов (use case diagram) создается для описания общих функциональных требований к системе. Она помогает определить пользователей, границы проектируемой информационной системы и ее интерфейсы.</w:t>
      </w:r>
    </w:p>
    <w:p>
      <w:pPr>
        <w:pStyle w:val="Normal"/>
      </w:pPr>
      <w:r>
        <w:t xml:space="preserve">С помощью диаграммы прецедентов можно:</w:t>
      </w:r>
    </w:p>
    <w:p>
      <w:pPr>
        <w:pStyle w:val="Compact"/>
        <w:numPr>
          <w:ilvl w:val="0"/>
          <w:numId w:val="1001"/>
        </w:numPr>
      </w:pPr>
      <w:r>
        <w:t xml:space="preserve">Определить действующих субъектов системы</w:t>
      </w:r>
    </w:p>
    <w:p>
      <w:pPr>
        <w:pStyle w:val="Compact"/>
        <w:numPr>
          <w:ilvl w:val="0"/>
          <w:numId w:val="1001"/>
        </w:numPr>
      </w:pPr>
      <w:r>
        <w:t xml:space="preserve">Установить границы системы</w:t>
      </w:r>
    </w:p>
    <w:p>
      <w:pPr>
        <w:pStyle w:val="Compact"/>
        <w:numPr>
          <w:ilvl w:val="0"/>
          <w:numId w:val="1001"/>
        </w:numPr>
      </w:pPr>
      <w:r>
        <w:t xml:space="preserve">Описать функциональные требования</w:t>
      </w:r>
    </w:p>
    <w:p>
      <w:pPr>
        <w:pStyle w:val="Compact"/>
        <w:numPr>
          <w:ilvl w:val="0"/>
          <w:numId w:val="1001"/>
        </w:numPr>
      </w:pPr>
      <w:r>
        <w:t xml:space="preserve">Создать основу для тестов и документации</w:t>
      </w:r>
    </w:p>
    <w:p>
      <w:pPr>
        <w:pStyle w:val="Compact"/>
        <w:numPr>
          <w:ilvl w:val="0"/>
          <w:numId w:val="1001"/>
        </w:numPr>
      </w:pPr>
      <w:r>
        <w:t xml:space="preserve">Обеспечить эффективную коммуникацию между участниками проекта</w:t>
      </w:r>
    </w:p>
    <w:p>
      <w:pPr>
        <w:pStyle w:val="Normal"/>
      </w:pPr>
      <w:r>
        <w:t xml:space="preserve">Важно: Диаграмма прецедентов отвечает на вопрос ЧТО делает система, а не КАК она это делает.</w:t>
      </w:r>
    </w:p>
    <w:bookmarkEnd w:id="17"/>
    <w:bookmarkStart w:id="22" w:name="основные-элементы-диаграммы-прецедентов"/>
    <w:p>
      <w:pPr>
        <w:pStyle w:val="Heading2"/>
      </w:pPr>
      <w:r>
        <w:t xml:space="preserve">Основные элементы диаграммы прецедентов</w:t>
      </w:r>
    </w:p>
    <w:bookmarkStart w:id="18" w:name="actor-действующий-субъект"/>
    <w:p>
      <w:pPr>
        <w:pStyle w:val="Heading3"/>
      </w:pPr>
      <w:r>
        <w:t xml:space="preserve">Actor (Действующий субъект)</w:t>
      </w:r>
    </w:p>
    <w:p>
      <w:pPr>
        <w:pStyle w:val="Normal"/>
      </w:pPr>
      <w:r>
        <w:t xml:space="preserve">Участник системы, который взаимодействует с ней. Может быть человеком, внешней системой, устройством или организацией. Графически изображается в виде фигурки человека.</w:t>
      </w:r>
    </w:p>
    <w:bookmarkEnd w:id="18"/>
    <w:bookmarkStart w:id="19" w:name="use-case-прецедент"/>
    <w:p>
      <w:pPr>
        <w:pStyle w:val="Heading3"/>
      </w:pPr>
      <w:r>
        <w:t xml:space="preserve">Use Case (Прецедент)</w:t>
      </w:r>
    </w:p>
    <w:p>
      <w:pPr>
        <w:pStyle w:val="Normal"/>
      </w:pPr>
      <w:r>
        <w:t xml:space="preserve">Графическое описание набора последовательных событий, выполнение которых приводит к результату, наблюдаемому участником. Графически изображается в виде эллипса с названием внутри.</w:t>
      </w:r>
    </w:p>
    <w:bookmarkEnd w:id="19"/>
    <w:bookmarkStart w:id="20" w:name="связи-между-элементами"/>
    <w:p>
      <w:pPr>
        <w:pStyle w:val="Heading3"/>
      </w:pPr>
      <w:r>
        <w:t xml:space="preserve">Связи между элементами</w:t>
      </w:r>
    </w:p>
    <w:p>
      <w:pPr>
        <w:pStyle w:val="Normal"/>
      </w:pPr>
      <w:r>
        <w:t xml:space="preserve">Association (Ассоциация) — связь между действующим субъектом и прецедентом, показывающая их взаимодействие.</w:t>
      </w:r>
    </w:p>
    <w:p>
      <w:pPr>
        <w:pStyle w:val="Normal"/>
      </w:pPr>
      <w:r>
        <w:t xml:space="preserve">Include (Включение) — связь между прецедентами, обозначающая обязательное включение функционала одного прецедента в другой. Обозначается стрелкой со стереотипом &lt;</w:t>
      </w:r>
      <w:r>
        <w:t xml:space="preserve">&gt;.</w:t>
      </w:r>
    </w:p>
    <w:p>
      <w:pPr>
        <w:pStyle w:val="Normal"/>
      </w:pPr>
      <w:r>
        <w:t xml:space="preserve">Extend (Расширение) — связь между прецедентами, обозначающая необязательное расширение функционала. Обозначается стрелкой со стереотипом &lt;</w:t>
      </w:r>
      <w:r>
        <w:t xml:space="preserve">&gt;.</w:t>
      </w:r>
    </w:p>
    <w:p>
      <w:pPr>
        <w:pStyle w:val="Normal"/>
      </w:pPr>
      <w:r>
        <w:t xml:space="preserve">Generalization (Обобщение) — иерархическая связь наследования между субъектами или прецедентами.</w:t>
      </w:r>
    </w:p>
    <w:bookmarkEnd w:id="20"/>
    <w:bookmarkStart w:id="21" w:name="note-комментарий"/>
    <w:p>
      <w:pPr>
        <w:pStyle w:val="Heading3"/>
      </w:pPr>
      <w:r>
        <w:t xml:space="preserve">Note (Комментарий)</w:t>
      </w:r>
    </w:p>
    <w:p>
      <w:pPr>
        <w:pStyle w:val="Normal"/>
      </w:pPr>
      <w:r>
        <w:t xml:space="preserve">Текстовые пояснения к элементам диаграммы.</w:t>
      </w:r>
    </w:p>
    <w:bookmarkEnd w:id="21"/>
    <w:bookmarkEnd w:id="22"/>
    <w:bookmarkEnd w:id="23"/>
    <w:bookmarkStart w:id="44" w:name="практическая-часть"/>
    <w:p>
      <w:pPr>
        <w:pStyle w:val="Heading1"/>
      </w:pPr>
      <w:r>
        <w:t xml:space="preserve">Практическая часть</w:t>
      </w:r>
    </w:p>
    <w:bookmarkStart w:id="24" w:name="описание-системы-sportrent"/>
    <w:p>
      <w:pPr>
        <w:pStyle w:val="Heading2"/>
      </w:pPr>
      <w:r>
        <w:t xml:space="preserve">Описание системы SportRent</w:t>
      </w:r>
    </w:p>
    <w:p>
      <w:pPr>
        <w:pStyle w:val="Normal"/>
      </w:pPr>
      <w:r>
        <w:t xml:space="preserve">SportRent — информационная система для автоматизации процессов аренды спортивного оборудования.</w:t>
      </w:r>
    </w:p>
    <w:p>
      <w:pPr>
        <w:pStyle w:val="Normal"/>
      </w:pPr>
      <w:r>
        <w:t xml:space="preserve">Основные цели системы:</w:t>
      </w:r>
    </w:p>
    <w:p>
      <w:pPr>
        <w:pStyle w:val="Compact"/>
        <w:numPr>
          <w:ilvl w:val="0"/>
          <w:numId w:val="1002"/>
        </w:numPr>
      </w:pPr>
      <w:r>
        <w:t xml:space="preserve">Автоматизация процессов бронирования, аренды и возврата</w:t>
      </w:r>
    </w:p>
    <w:p>
      <w:pPr>
        <w:pStyle w:val="Compact"/>
        <w:numPr>
          <w:ilvl w:val="0"/>
          <w:numId w:val="1002"/>
        </w:numPr>
      </w:pPr>
      <w:r>
        <w:t xml:space="preserve">Отслеживание наличия и статуса оборудования в реальном времени</w:t>
      </w:r>
    </w:p>
    <w:p>
      <w:pPr>
        <w:pStyle w:val="Compact"/>
        <w:numPr>
          <w:ilvl w:val="0"/>
          <w:numId w:val="1002"/>
        </w:numPr>
      </w:pPr>
      <w:r>
        <w:t xml:space="preserve">Упрощение взаимодействия между клиентами и администрацией</w:t>
      </w:r>
    </w:p>
    <w:p>
      <w:pPr>
        <w:pStyle w:val="Compact"/>
        <w:numPr>
          <w:ilvl w:val="0"/>
          <w:numId w:val="1002"/>
        </w:numPr>
      </w:pPr>
      <w:r>
        <w:t xml:space="preserve">Оптимизация использования оборудования</w:t>
      </w:r>
    </w:p>
    <w:p>
      <w:pPr>
        <w:pStyle w:val="Normal"/>
      </w:pPr>
      <w:r>
        <w:t xml:space="preserve">Ключевые модули:</w:t>
      </w:r>
    </w:p>
    <w:p>
      <w:pPr>
        <w:pStyle w:val="Compact"/>
        <w:numPr>
          <w:ilvl w:val="0"/>
          <w:numId w:val="1003"/>
        </w:numPr>
      </w:pPr>
      <w:r>
        <w:t xml:space="preserve">Управление каталогом оборудования</w:t>
      </w:r>
    </w:p>
    <w:p>
      <w:pPr>
        <w:pStyle w:val="Compact"/>
        <w:numPr>
          <w:ilvl w:val="0"/>
          <w:numId w:val="1003"/>
        </w:numPr>
      </w:pPr>
      <w:r>
        <w:t xml:space="preserve">Бронирование и заказы</w:t>
      </w:r>
    </w:p>
    <w:p>
      <w:pPr>
        <w:pStyle w:val="Compact"/>
        <w:numPr>
          <w:ilvl w:val="0"/>
          <w:numId w:val="1003"/>
        </w:numPr>
      </w:pPr>
      <w:r>
        <w:t xml:space="preserve">Обработка платежей</w:t>
      </w:r>
    </w:p>
    <w:p>
      <w:pPr>
        <w:pStyle w:val="Compact"/>
        <w:numPr>
          <w:ilvl w:val="0"/>
          <w:numId w:val="1003"/>
        </w:numPr>
      </w:pPr>
      <w:r>
        <w:t xml:space="preserve">Управление клиентами</w:t>
      </w:r>
    </w:p>
    <w:p>
      <w:pPr>
        <w:pStyle w:val="Compact"/>
        <w:numPr>
          <w:ilvl w:val="0"/>
          <w:numId w:val="1003"/>
        </w:numPr>
      </w:pPr>
      <w:r>
        <w:t xml:space="preserve">Складской учет</w:t>
      </w:r>
    </w:p>
    <w:p>
      <w:pPr>
        <w:pStyle w:val="Compact"/>
        <w:numPr>
          <w:ilvl w:val="0"/>
          <w:numId w:val="1003"/>
        </w:numPr>
      </w:pPr>
      <w:r>
        <w:t xml:space="preserve">Операции с базой данных</w:t>
      </w:r>
    </w:p>
    <w:p>
      <w:pPr>
        <w:pStyle w:val="Compact"/>
        <w:numPr>
          <w:ilvl w:val="0"/>
          <w:numId w:val="1003"/>
        </w:numPr>
      </w:pPr>
      <w:r>
        <w:t xml:space="preserve">Отчетность и аналитика</w:t>
      </w:r>
    </w:p>
    <w:p>
      <w:pPr>
        <w:pStyle w:val="Compact"/>
        <w:numPr>
          <w:ilvl w:val="0"/>
          <w:numId w:val="1003"/>
        </w:numPr>
      </w:pPr>
      <w:r>
        <w:t xml:space="preserve">Системное администрирование</w:t>
      </w:r>
    </w:p>
    <w:bookmarkEnd w:id="24"/>
    <w:bookmarkStart w:id="25" w:name="действующие-субъекты-actors"/>
    <w:p>
      <w:pPr>
        <w:pStyle w:val="Heading2"/>
      </w:pPr>
      <w:r>
        <w:t xml:space="preserve">Действующие субъекты (Actors)</w:t>
      </w:r>
    </w:p>
    <w:p>
      <w:pPr>
        <w:pStyle w:val="Normal"/>
      </w:pPr>
      <w:r>
        <w:t xml:space="preserve">В системе SportRent определены следующие действующие субъекты:</w:t>
      </w:r>
    </w:p>
    <w:p>
      <w:pPr>
        <w:pStyle w:val="Compact"/>
        <w:numPr>
          <w:ilvl w:val="0"/>
          <w:numId w:val="1004"/>
        </w:numPr>
      </w:pPr>
      <w:r>
        <w:t xml:space="preserve">Клиент — основной пользователь системы, арендующий оборудование. Функции: регистрация и авторизация, просмотр и поиск оборудования, создание бронирований, оформление и оплата заказов, просмотр истории аренды.</w:t>
      </w:r>
    </w:p>
    <w:p>
      <w:pPr>
        <w:pStyle w:val="Compact"/>
        <w:numPr>
          <w:ilvl w:val="0"/>
          <w:numId w:val="1005"/>
        </w:numPr>
      </w:pPr>
      <w:r>
        <w:t xml:space="preserve">Менеджер — сотрудник, управляющий бизнес-процессами. Функции: управление каталогом и ценами, обработка заказов, формирование отчетов и аналитика.</w:t>
      </w:r>
    </w:p>
    <w:p>
      <w:pPr>
        <w:pStyle w:val="Compact"/>
        <w:numPr>
          <w:ilvl w:val="0"/>
          <w:numId w:val="1006"/>
        </w:numPr>
      </w:pPr>
      <w:r>
        <w:t xml:space="preserve">Складской работник — сотрудник, отвечающий за выдачу и прием оборудования. Функции: выдача оборудования клиентам, прием возврата оборудования, инвентаризация и учет.</w:t>
      </w:r>
    </w:p>
    <w:p>
      <w:pPr>
        <w:pStyle w:val="Compact"/>
        <w:numPr>
          <w:ilvl w:val="0"/>
          <w:numId w:val="1007"/>
        </w:numPr>
      </w:pPr>
      <w:r>
        <w:t xml:space="preserve">Администратор — технический специалист с полным доступом. Функции: управление пользователями, настройка системы и безопасность, мониторинг и резервное копирование. Наследует права менеджера.</w:t>
      </w:r>
    </w:p>
    <w:p>
      <w:pPr>
        <w:pStyle w:val="Compact"/>
        <w:numPr>
          <w:ilvl w:val="0"/>
          <w:numId w:val="1008"/>
        </w:numPr>
      </w:pPr>
      <w:r>
        <w:t xml:space="preserve">Платежная система — внешний субъект для обработки платежей.</w:t>
      </w:r>
    </w:p>
    <w:bookmarkEnd w:id="25"/>
    <w:bookmarkStart w:id="29" w:name="диаграмма-прецедентов-системы-sportrent"/>
    <w:p>
      <w:pPr>
        <w:pStyle w:val="Heading2"/>
      </w:pPr>
      <w:r>
        <w:t xml:space="preserve">Диаграмма прецедентов системы SportRent</w:t>
      </w:r>
    </w:p>
    <w:p>
      <w:pPr>
        <w:pStyle w:val="Picture"/>
      </w:pPr>
      <w:r>
        <w:drawing>
          <wp:inline>
            <wp:extent cx="6108700" cy="962073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solutions/diagrams/use-case-diagra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9620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Picturename"/>
      </w:pPr>
      <w:r>
        <w:t xml:space="preserve">Диаграмма прецедентов системы SportRent</w:t>
      </w:r>
    </w:p>
    <w:p>
      <w:pPr>
        <w:pStyle w:val="Normal"/>
      </w:pPr>
      <w:r>
        <w:t xml:space="preserve">На диаграмме представлено 49 прецедентов, сгруппированных по функциональным модулям: аутентификация и управление профилем (3 прецедента), работа с каталогом оборудования (4 прецедента), бронирование и заказы (10 прецедентов), история и отзывы (2 прецедента), управление каталогом (6 прецедентов), обработка заказов (2 прецедента), отчетность и аналитика (5 прецедентов), складские операции (8 прецедентов), администрирование (9 прецедентов).</w:t>
      </w:r>
    </w:p>
    <w:bookmarkEnd w:id="29"/>
    <w:bookmarkStart w:id="35" w:name="основные-прецеденты-системы"/>
    <w:p>
      <w:pPr>
        <w:pStyle w:val="Heading2"/>
      </w:pPr>
      <w:r>
        <w:t xml:space="preserve">Основные прецеденты системы</w:t>
      </w:r>
    </w:p>
    <w:bookmarkStart w:id="30" w:name="модуль-аутентификации"/>
    <w:p>
      <w:pPr>
        <w:pStyle w:val="Heading3"/>
      </w:pPr>
      <w:r>
        <w:t xml:space="preserve">Модуль аутентификации</w:t>
      </w:r>
    </w:p>
    <w:p>
      <w:pPr>
        <w:pStyle w:val="Compact"/>
        <w:numPr>
          <w:ilvl w:val="0"/>
          <w:numId w:val="1009"/>
        </w:numPr>
      </w:pPr>
      <w:r>
        <w:t xml:space="preserve">UC01 - Регистрация — создание новой учетной записи клиента</w:t>
      </w:r>
    </w:p>
    <w:p>
      <w:pPr>
        <w:pStyle w:val="Compact"/>
        <w:numPr>
          <w:ilvl w:val="0"/>
          <w:numId w:val="1009"/>
        </w:numPr>
      </w:pPr>
      <w:r>
        <w:t xml:space="preserve">UC02 - Авторизация — вход в систему (включает UC03)</w:t>
      </w:r>
    </w:p>
    <w:p>
      <w:pPr>
        <w:pStyle w:val="Compact"/>
        <w:numPr>
          <w:ilvl w:val="0"/>
          <w:numId w:val="1009"/>
        </w:numPr>
      </w:pPr>
      <w:r>
        <w:t xml:space="preserve">UC03 - Управление профилем — редактирование личных данных</w:t>
      </w:r>
    </w:p>
    <w:bookmarkEnd w:id="30"/>
    <w:bookmarkStart w:id="31" w:name="модуль-каталога-оборудования"/>
    <w:p>
      <w:pPr>
        <w:pStyle w:val="Heading3"/>
      </w:pPr>
      <w:r>
        <w:t xml:space="preserve">Модуль каталога оборудования</w:t>
      </w:r>
    </w:p>
    <w:p>
      <w:pPr>
        <w:pStyle w:val="Compact"/>
        <w:numPr>
          <w:ilvl w:val="0"/>
          <w:numId w:val="1010"/>
        </w:numPr>
      </w:pPr>
      <w:r>
        <w:t xml:space="preserve">UC04 - Просмотр каталога оборудования — базовая функция</w:t>
      </w:r>
    </w:p>
    <w:p>
      <w:pPr>
        <w:pStyle w:val="Compact"/>
        <w:numPr>
          <w:ilvl w:val="0"/>
          <w:numId w:val="1010"/>
        </w:numPr>
      </w:pPr>
      <w:r>
        <w:t xml:space="preserve">UC05 - Поиск оборудования — включает UC04 и UC06</w:t>
      </w:r>
    </w:p>
    <w:p>
      <w:pPr>
        <w:pStyle w:val="Compact"/>
        <w:numPr>
          <w:ilvl w:val="0"/>
          <w:numId w:val="1010"/>
        </w:numPr>
      </w:pPr>
      <w:r>
        <w:t xml:space="preserve">UC06 - Фильтрация по категориям — отбор по типу</w:t>
      </w:r>
    </w:p>
    <w:p>
      <w:pPr>
        <w:pStyle w:val="Compact"/>
        <w:numPr>
          <w:ilvl w:val="0"/>
          <w:numId w:val="1010"/>
        </w:numPr>
      </w:pPr>
      <w:r>
        <w:t xml:space="preserve">UC07 - Просмотр детальной информации — расширяет UC04 (&lt;</w:t>
      </w:r>
      <w:r>
        <w:t xml:space="preserve">&gt;)</w:t>
      </w:r>
    </w:p>
    <w:bookmarkEnd w:id="31"/>
    <w:bookmarkStart w:id="32" w:name="модуль-бронирования-и-заказов"/>
    <w:p>
      <w:pPr>
        <w:pStyle w:val="Heading3"/>
      </w:pPr>
      <w:r>
        <w:t xml:space="preserve">Модуль бронирования и заказов</w:t>
      </w:r>
    </w:p>
    <w:p>
      <w:pPr>
        <w:pStyle w:val="Compact"/>
        <w:numPr>
          <w:ilvl w:val="0"/>
          <w:numId w:val="1011"/>
        </w:numPr>
      </w:pPr>
      <w:r>
        <w:t xml:space="preserve">UC08 - Создание бронирования — включает UC04, UC09, UC10</w:t>
      </w:r>
    </w:p>
    <w:p>
      <w:pPr>
        <w:pStyle w:val="Compact"/>
        <w:numPr>
          <w:ilvl w:val="0"/>
          <w:numId w:val="1011"/>
        </w:numPr>
      </w:pPr>
      <w:r>
        <w:t xml:space="preserve">UC09 - Выбор периода аренды</w:t>
      </w:r>
    </w:p>
    <w:p>
      <w:pPr>
        <w:pStyle w:val="Compact"/>
        <w:numPr>
          <w:ilvl w:val="0"/>
          <w:numId w:val="1011"/>
        </w:numPr>
      </w:pPr>
      <w:r>
        <w:t xml:space="preserve">UC10 - Проверка наличия оборудования</w:t>
      </w:r>
    </w:p>
    <w:p>
      <w:pPr>
        <w:pStyle w:val="Compact"/>
        <w:numPr>
          <w:ilvl w:val="0"/>
          <w:numId w:val="1011"/>
        </w:numPr>
      </w:pPr>
      <w:r>
        <w:t xml:space="preserve">UC11 - Оформление заказа — включает UC08, UC12</w:t>
      </w:r>
    </w:p>
    <w:p>
      <w:pPr>
        <w:pStyle w:val="Compact"/>
        <w:numPr>
          <w:ilvl w:val="0"/>
          <w:numId w:val="1011"/>
        </w:numPr>
      </w:pPr>
      <w:r>
        <w:t xml:space="preserve">UC12 - Расчет стоимости</w:t>
      </w:r>
    </w:p>
    <w:p>
      <w:pPr>
        <w:pStyle w:val="Compact"/>
        <w:numPr>
          <w:ilvl w:val="0"/>
          <w:numId w:val="1011"/>
        </w:numPr>
      </w:pPr>
      <w:r>
        <w:t xml:space="preserve">UC13 - Оплата заказа — включает UC14, UC15</w:t>
      </w:r>
    </w:p>
    <w:p>
      <w:pPr>
        <w:pStyle w:val="Compact"/>
        <w:numPr>
          <w:ilvl w:val="0"/>
          <w:numId w:val="1011"/>
        </w:numPr>
      </w:pPr>
      <w:r>
        <w:t xml:space="preserve">UC14 - Обработка платежа — взаимодействие с внешней системой</w:t>
      </w:r>
    </w:p>
    <w:p>
      <w:pPr>
        <w:pStyle w:val="Compact"/>
        <w:numPr>
          <w:ilvl w:val="0"/>
          <w:numId w:val="1011"/>
        </w:numPr>
      </w:pPr>
      <w:r>
        <w:t xml:space="preserve">UC15 - Подтверждение заказа</w:t>
      </w:r>
    </w:p>
    <w:p>
      <w:pPr>
        <w:pStyle w:val="Compact"/>
        <w:numPr>
          <w:ilvl w:val="0"/>
          <w:numId w:val="1011"/>
        </w:numPr>
      </w:pPr>
      <w:r>
        <w:t xml:space="preserve">UC16 - Отмена бронирования — расширяет UC08 (&lt;</w:t>
      </w:r>
      <w:r>
        <w:t xml:space="preserve">&gt;)</w:t>
      </w:r>
    </w:p>
    <w:bookmarkEnd w:id="32"/>
    <w:bookmarkStart w:id="33" w:name="модуль-складских-операций"/>
    <w:p>
      <w:pPr>
        <w:pStyle w:val="Heading3"/>
      </w:pPr>
      <w:r>
        <w:t xml:space="preserve">Модуль складских операций</w:t>
      </w:r>
    </w:p>
    <w:p>
      <w:pPr>
        <w:pStyle w:val="Compact"/>
        <w:numPr>
          <w:ilvl w:val="0"/>
          <w:numId w:val="1012"/>
        </w:numPr>
      </w:pPr>
      <w:r>
        <w:t xml:space="preserve">UC32 - Выдача оборудования — включает UC33, UC34</w:t>
      </w:r>
    </w:p>
    <w:p>
      <w:pPr>
        <w:pStyle w:val="Compact"/>
        <w:numPr>
          <w:ilvl w:val="0"/>
          <w:numId w:val="1012"/>
        </w:numPr>
      </w:pPr>
      <w:r>
        <w:t xml:space="preserve">UC33 - Проверка документов клиента</w:t>
      </w:r>
    </w:p>
    <w:p>
      <w:pPr>
        <w:pStyle w:val="Compact"/>
        <w:numPr>
          <w:ilvl w:val="0"/>
          <w:numId w:val="1012"/>
        </w:numPr>
      </w:pPr>
      <w:r>
        <w:t xml:space="preserve">UC34 - Регистрация выдачи</w:t>
      </w:r>
    </w:p>
    <w:p>
      <w:pPr>
        <w:pStyle w:val="Compact"/>
        <w:numPr>
          <w:ilvl w:val="0"/>
          <w:numId w:val="1012"/>
        </w:numPr>
      </w:pPr>
      <w:r>
        <w:t xml:space="preserve">UC35 - Прием возврата оборудования — включает UC36, UC37</w:t>
      </w:r>
    </w:p>
    <w:p>
      <w:pPr>
        <w:pStyle w:val="Compact"/>
        <w:numPr>
          <w:ilvl w:val="0"/>
          <w:numId w:val="1012"/>
        </w:numPr>
      </w:pPr>
      <w:r>
        <w:t xml:space="preserve">UC36 - Проверка состояния оборудования</w:t>
      </w:r>
    </w:p>
    <w:p>
      <w:pPr>
        <w:pStyle w:val="Compact"/>
        <w:numPr>
          <w:ilvl w:val="0"/>
          <w:numId w:val="1012"/>
        </w:numPr>
      </w:pPr>
      <w:r>
        <w:t xml:space="preserve">UC37 - Регистрация возврата</w:t>
      </w:r>
    </w:p>
    <w:p>
      <w:pPr>
        <w:pStyle w:val="Compact"/>
        <w:numPr>
          <w:ilvl w:val="0"/>
          <w:numId w:val="1012"/>
        </w:numPr>
      </w:pPr>
      <w:r>
        <w:t xml:space="preserve">UC38 - Обновление складских записей</w:t>
      </w:r>
    </w:p>
    <w:p>
      <w:pPr>
        <w:pStyle w:val="Compact"/>
        <w:numPr>
          <w:ilvl w:val="0"/>
          <w:numId w:val="1012"/>
        </w:numPr>
      </w:pPr>
      <w:r>
        <w:t xml:space="preserve">UC39 - Инвентаризация</w:t>
      </w:r>
    </w:p>
    <w:bookmarkEnd w:id="33"/>
    <w:bookmarkStart w:id="34" w:name="модуль-администрирования"/>
    <w:p>
      <w:pPr>
        <w:pStyle w:val="Heading3"/>
      </w:pPr>
      <w:r>
        <w:t xml:space="preserve">Модуль администрирования</w:t>
      </w:r>
    </w:p>
    <w:p>
      <w:pPr>
        <w:pStyle w:val="Compact"/>
        <w:numPr>
          <w:ilvl w:val="0"/>
          <w:numId w:val="1013"/>
        </w:numPr>
      </w:pPr>
      <w:r>
        <w:t xml:space="preserve">UC40 - Управление пользователями — включает UC41, UC42, UC43</w:t>
      </w:r>
    </w:p>
    <w:p>
      <w:pPr>
        <w:pStyle w:val="Compact"/>
        <w:numPr>
          <w:ilvl w:val="0"/>
          <w:numId w:val="1013"/>
        </w:numPr>
      </w:pPr>
      <w:r>
        <w:t xml:space="preserve">UC41 - Создание пользователя</w:t>
      </w:r>
    </w:p>
    <w:p>
      <w:pPr>
        <w:pStyle w:val="Compact"/>
        <w:numPr>
          <w:ilvl w:val="0"/>
          <w:numId w:val="1013"/>
        </w:numPr>
      </w:pPr>
      <w:r>
        <w:t xml:space="preserve">UC42 - Редактирование пользователя</w:t>
      </w:r>
    </w:p>
    <w:p>
      <w:pPr>
        <w:pStyle w:val="Compact"/>
        <w:numPr>
          <w:ilvl w:val="0"/>
          <w:numId w:val="1013"/>
        </w:numPr>
      </w:pPr>
      <w:r>
        <w:t xml:space="preserve">UC43 - Удаление пользователя</w:t>
      </w:r>
    </w:p>
    <w:p>
      <w:pPr>
        <w:pStyle w:val="Compact"/>
        <w:numPr>
          <w:ilvl w:val="0"/>
          <w:numId w:val="1013"/>
        </w:numPr>
      </w:pPr>
      <w:r>
        <w:t xml:space="preserve">UC44 - Управление ролями и правами</w:t>
      </w:r>
    </w:p>
    <w:p>
      <w:pPr>
        <w:pStyle w:val="Compact"/>
        <w:numPr>
          <w:ilvl w:val="0"/>
          <w:numId w:val="1013"/>
        </w:numPr>
      </w:pPr>
      <w:r>
        <w:t xml:space="preserve">UC45 - Настройка системы</w:t>
      </w:r>
    </w:p>
    <w:p>
      <w:pPr>
        <w:pStyle w:val="Compact"/>
        <w:numPr>
          <w:ilvl w:val="0"/>
          <w:numId w:val="1013"/>
        </w:numPr>
      </w:pPr>
      <w:r>
        <w:t xml:space="preserve">UC46 - Управление безопасностью</w:t>
      </w:r>
    </w:p>
    <w:p>
      <w:pPr>
        <w:pStyle w:val="Compact"/>
        <w:numPr>
          <w:ilvl w:val="0"/>
          <w:numId w:val="1013"/>
        </w:numPr>
      </w:pPr>
      <w:r>
        <w:t xml:space="preserve">UC47 - Резервное копирование</w:t>
      </w:r>
    </w:p>
    <w:p>
      <w:pPr>
        <w:pStyle w:val="Compact"/>
        <w:numPr>
          <w:ilvl w:val="0"/>
          <w:numId w:val="1013"/>
        </w:numPr>
      </w:pPr>
      <w:r>
        <w:t xml:space="preserve">UC48 - Просмотр логов системы</w:t>
      </w:r>
    </w:p>
    <w:p>
      <w:pPr>
        <w:pStyle w:val="Compact"/>
        <w:numPr>
          <w:ilvl w:val="0"/>
          <w:numId w:val="1013"/>
        </w:numPr>
      </w:pPr>
      <w:r>
        <w:t xml:space="preserve">UC49 - Мониторинг системы</w:t>
      </w:r>
    </w:p>
    <w:bookmarkEnd w:id="34"/>
    <w:bookmarkEnd w:id="35"/>
    <w:bookmarkStart w:id="39" w:name="связи-между-прецедентами"/>
    <w:p>
      <w:pPr>
        <w:pStyle w:val="Heading2"/>
      </w:pPr>
      <w:r>
        <w:t xml:space="preserve">Связи между прецедентами</w:t>
      </w:r>
    </w:p>
    <w:bookmarkStart w:id="36" w:name="связи-включения"/>
    <w:p>
      <w:pPr>
        <w:pStyle w:val="Heading3"/>
      </w:pPr>
      <w:r>
        <w:t xml:space="preserve">Связи включения (&lt;</w:t>
      </w:r>
      <w:r>
        <w:t xml:space="preserve">&gt;)</w:t>
      </w:r>
    </w:p>
    <w:p>
      <w:pPr>
        <w:pStyle w:val="Normal"/>
      </w:pPr>
      <w:r>
        <w:t xml:space="preserve">Используются для обязательных зависимостей между прецедентами: Авторизация (UC02) включает Управление профилем (UC03), Создание бронирования (UC08) включает Проверку наличия (UC10), Оплата заказа (UC13) включает Обработку платежа (UC14), Выдача оборудования (UC32) включает Проверку документов (UC33).</w:t>
      </w:r>
    </w:p>
    <w:bookmarkEnd w:id="36"/>
    <w:bookmarkStart w:id="37" w:name="связи-расширения"/>
    <w:p>
      <w:pPr>
        <w:pStyle w:val="Heading3"/>
      </w:pPr>
      <w:r>
        <w:t xml:space="preserve">Связи расширения (&lt;</w:t>
      </w:r>
      <w:r>
        <w:t xml:space="preserve">&gt;)</w:t>
      </w:r>
    </w:p>
    <w:p>
      <w:pPr>
        <w:pStyle w:val="Normal"/>
      </w:pPr>
      <w:r>
        <w:t xml:space="preserve">Используются для опциональных расширений: Просмотр детальной информации (UC07) расширяет Просмотр каталога (UC04), Оценка оборудования (UC18) расширяет Просмотр истории (UC17), Отмена бронирования (UC16) расширяет Создание бронирования (UC08).</w:t>
      </w:r>
    </w:p>
    <w:bookmarkEnd w:id="37"/>
    <w:bookmarkStart w:id="38" w:name="связи-обобщения-generalization"/>
    <w:p>
      <w:pPr>
        <w:pStyle w:val="Heading3"/>
      </w:pPr>
      <w:r>
        <w:t xml:space="preserve">Связи обобщения (Generalization)</w:t>
      </w:r>
    </w:p>
    <w:p>
      <w:pPr>
        <w:pStyle w:val="Normal"/>
      </w:pPr>
      <w:r>
        <w:t xml:space="preserve">Администратор наследует права Менеджера, получая доступ ко всем его функциям.</w:t>
      </w:r>
    </w:p>
    <w:bookmarkEnd w:id="38"/>
    <w:bookmarkEnd w:id="39"/>
    <w:bookmarkStart w:id="43" w:name="описание-основных-бизнес-процессов"/>
    <w:p>
      <w:pPr>
        <w:pStyle w:val="Heading2"/>
      </w:pPr>
      <w:r>
        <w:t xml:space="preserve">Описание основных бизнес-процессов</w:t>
      </w:r>
    </w:p>
    <w:bookmarkStart w:id="40" w:name="процесс-1-аренда-оборудования-клиентом"/>
    <w:p>
      <w:pPr>
        <w:pStyle w:val="Heading3"/>
      </w:pPr>
      <w:r>
        <w:t xml:space="preserve">Процесс 1: Аренда оборудования клиентом</w:t>
      </w:r>
    </w:p>
    <w:p>
      <w:pPr>
        <w:pStyle w:val="Normal"/>
      </w:pPr>
      <w:r>
        <w:t xml:space="preserve">Основной сценарий:</w:t>
      </w:r>
    </w:p>
    <w:p>
      <w:pPr>
        <w:pStyle w:val="Compact"/>
        <w:numPr>
          <w:ilvl w:val="0"/>
          <w:numId w:val="1014"/>
        </w:numPr>
      </w:pPr>
      <w:r>
        <w:t xml:space="preserve">Регистрация/Авторизация (UC01, UC02) — новый клиент создает учетную запись, существующий клиент входит в систему.</w:t>
      </w:r>
    </w:p>
    <w:p>
      <w:pPr>
        <w:pStyle w:val="Compact"/>
        <w:numPr>
          <w:ilvl w:val="0"/>
          <w:numId w:val="1015"/>
        </w:numPr>
      </w:pPr>
      <w:r>
        <w:t xml:space="preserve">Поиск и выбор оборудования (UC04, UC05, UC06, UC07) — просмотр каталога, использование поиска и фильтров, просмотр детальной информации.</w:t>
      </w:r>
    </w:p>
    <w:p>
      <w:pPr>
        <w:pStyle w:val="Compact"/>
        <w:numPr>
          <w:ilvl w:val="0"/>
          <w:numId w:val="1016"/>
        </w:numPr>
      </w:pPr>
      <w:r>
        <w:t xml:space="preserve">Бронирование (UC08, UC09, UC10) — выбор оборудования и периода аренды, автоматическая проверка доступности.</w:t>
      </w:r>
    </w:p>
    <w:p>
      <w:pPr>
        <w:pStyle w:val="Compact"/>
        <w:numPr>
          <w:ilvl w:val="0"/>
          <w:numId w:val="1017"/>
        </w:numPr>
      </w:pPr>
      <w:r>
        <w:t xml:space="preserve">Оформление и оплата (UC11, UC12, UC13, UC14, UC15) — создание заказа с расчетом стоимости, проведение платежа через внешнюю систему, подтверждение заказа.</w:t>
      </w:r>
    </w:p>
    <w:p>
      <w:pPr>
        <w:pStyle w:val="Compact"/>
        <w:numPr>
          <w:ilvl w:val="0"/>
          <w:numId w:val="1018"/>
        </w:numPr>
      </w:pPr>
      <w:r>
        <w:t xml:space="preserve">Получение оборудования (UC32, UC33, UC34) — проверка документов складским работником, регистрация выдачи в системе.</w:t>
      </w:r>
    </w:p>
    <w:p>
      <w:pPr>
        <w:pStyle w:val="Compact"/>
        <w:numPr>
          <w:ilvl w:val="0"/>
          <w:numId w:val="1019"/>
        </w:numPr>
      </w:pPr>
      <w:r>
        <w:t xml:space="preserve">Возврат оборудования (UC35, UC36, UC37, UC38) — проверка состояния оборудования, регистрация возврата, обновление складских записей.</w:t>
      </w:r>
    </w:p>
    <w:p>
      <w:pPr>
        <w:pStyle w:val="Compact"/>
        <w:numPr>
          <w:ilvl w:val="0"/>
          <w:numId w:val="1020"/>
        </w:numPr>
      </w:pPr>
      <w:r>
        <w:t xml:space="preserve">После аренды (UC17, UC18) — просмотр истории аренды, оставление отзыва (опционально).</w:t>
      </w:r>
    </w:p>
    <w:p>
      <w:pPr>
        <w:pStyle w:val="Normal"/>
      </w:pPr>
      <w:r>
        <w:t xml:space="preserve">Альтернативный сценарий: Отмена бронирования (UC16) до оплаты заказа.</w:t>
      </w:r>
    </w:p>
    <w:bookmarkEnd w:id="40"/>
    <w:bookmarkStart w:id="41" w:name="X33de9c70a4455e8ae821bbb3515e58669d58f14"/>
    <w:p>
      <w:pPr>
        <w:pStyle w:val="Heading3"/>
      </w:pPr>
      <w:r>
        <w:t xml:space="preserve">Процесс 2: Управление каталогом менеджером</w:t>
      </w:r>
    </w:p>
    <w:p>
      <w:pPr>
        <w:pStyle w:val="Compact"/>
        <w:numPr>
          <w:ilvl w:val="0"/>
          <w:numId w:val="1021"/>
        </w:numPr>
      </w:pPr>
      <w:r>
        <w:t xml:space="preserve">Авторизация в системе (UC02).</w:t>
      </w:r>
    </w:p>
    <w:p>
      <w:pPr>
        <w:pStyle w:val="Compact"/>
        <w:numPr>
          <w:ilvl w:val="0"/>
          <w:numId w:val="1021"/>
        </w:numPr>
      </w:pPr>
      <w:r>
        <w:t xml:space="preserve">Управление каталогом оборудования (UC19-UC23) — добавление нового оборудования, редактирование существующего, удаление оборудования, управление категориями.</w:t>
      </w:r>
    </w:p>
    <w:p>
      <w:pPr>
        <w:pStyle w:val="Compact"/>
        <w:numPr>
          <w:ilvl w:val="0"/>
          <w:numId w:val="1021"/>
        </w:numPr>
      </w:pPr>
      <w:r>
        <w:t xml:space="preserve">Управление ценами (UC24).</w:t>
      </w:r>
    </w:p>
    <w:p>
      <w:pPr>
        <w:pStyle w:val="Compact"/>
        <w:numPr>
          <w:ilvl w:val="0"/>
          <w:numId w:val="1021"/>
        </w:numPr>
      </w:pPr>
      <w:r>
        <w:t xml:space="preserve">Обработка заказов (UC25, UC26).</w:t>
      </w:r>
    </w:p>
    <w:p>
      <w:pPr>
        <w:pStyle w:val="Compact"/>
        <w:numPr>
          <w:ilvl w:val="0"/>
          <w:numId w:val="1021"/>
        </w:numPr>
      </w:pPr>
      <w:r>
        <w:t xml:space="preserve">Формирование отчетов и аналитика (UC27-UC31).</w:t>
      </w:r>
    </w:p>
    <w:bookmarkEnd w:id="41"/>
    <w:bookmarkStart w:id="42" w:name="процесс-3-администрирование-системы"/>
    <w:p>
      <w:pPr>
        <w:pStyle w:val="Heading3"/>
      </w:pPr>
      <w:r>
        <w:t xml:space="preserve">Процесс 3: Администрирование системы</w:t>
      </w:r>
    </w:p>
    <w:p>
      <w:pPr>
        <w:pStyle w:val="Compact"/>
        <w:numPr>
          <w:ilvl w:val="0"/>
          <w:numId w:val="1022"/>
        </w:numPr>
      </w:pPr>
      <w:r>
        <w:t xml:space="preserve">Авторизация (UC02).</w:t>
      </w:r>
    </w:p>
    <w:p>
      <w:pPr>
        <w:pStyle w:val="Compact"/>
        <w:numPr>
          <w:ilvl w:val="0"/>
          <w:numId w:val="1022"/>
        </w:numPr>
      </w:pPr>
      <w:r>
        <w:t xml:space="preserve">Управление пользователями (UC40-UC43).</w:t>
      </w:r>
    </w:p>
    <w:p>
      <w:pPr>
        <w:pStyle w:val="Compact"/>
        <w:numPr>
          <w:ilvl w:val="0"/>
          <w:numId w:val="1022"/>
        </w:numPr>
      </w:pPr>
      <w:r>
        <w:t xml:space="preserve">Управление ролями и правами (UC44).</w:t>
      </w:r>
    </w:p>
    <w:p>
      <w:pPr>
        <w:pStyle w:val="Compact"/>
        <w:numPr>
          <w:ilvl w:val="0"/>
          <w:numId w:val="1022"/>
        </w:numPr>
      </w:pPr>
      <w:r>
        <w:t xml:space="preserve">Настройка системы и безопасности (UC45, UC46).</w:t>
      </w:r>
    </w:p>
    <w:p>
      <w:pPr>
        <w:pStyle w:val="Compact"/>
        <w:numPr>
          <w:ilvl w:val="0"/>
          <w:numId w:val="1022"/>
        </w:numPr>
      </w:pPr>
      <w:r>
        <w:t xml:space="preserve">Резервное копирование (UC47).</w:t>
      </w:r>
    </w:p>
    <w:p>
      <w:pPr>
        <w:pStyle w:val="Compact"/>
        <w:numPr>
          <w:ilvl w:val="0"/>
          <w:numId w:val="1022"/>
        </w:numPr>
      </w:pPr>
      <w:r>
        <w:t xml:space="preserve">Мониторинг и просмотр логов (UC48, UC49).</w:t>
      </w:r>
    </w:p>
    <w:p>
      <w:pPr>
        <w:pStyle w:val="Compact"/>
        <w:numPr>
          <w:ilvl w:val="0"/>
          <w:numId w:val="1022"/>
        </w:numPr>
      </w:pPr>
      <w:r>
        <w:t xml:space="preserve">Выполнение функций менеджера (благодаря наследованию).</w:t>
      </w:r>
    </w:p>
    <w:bookmarkEnd w:id="42"/>
    <w:bookmarkEnd w:id="43"/>
    <w:bookmarkEnd w:id="44"/>
    <w:bookmarkStart w:id="45" w:name="глоссарий-терминов"/>
    <w:p>
      <w:pPr>
        <w:pStyle w:val="Heading1"/>
      </w:pPr>
      <w:r>
        <w:t xml:space="preserve">Глоссарий терминов</w:t>
      </w:r>
    </w:p>
    <w:p>
      <w:pPr>
        <w:pStyle w:val="Normal"/>
      </w:pPr>
      <w:r>
        <w:t xml:space="preserve">Actor (Действующий субъект) — участник системы, взаимодействующий с ней.</w:t>
      </w:r>
    </w:p>
    <w:p>
      <w:pPr>
        <w:pStyle w:val="Normal"/>
      </w:pPr>
      <w:r>
        <w:t xml:space="preserve">Use Case (Прецедент) — описание последовательности действий системы для достижения цели.</w:t>
      </w:r>
    </w:p>
    <w:p>
      <w:pPr>
        <w:pStyle w:val="Normal"/>
      </w:pPr>
      <w:r>
        <w:t xml:space="preserve">Association (Ассоциация) — связь между субъектом и прецедентом.</w:t>
      </w:r>
    </w:p>
    <w:p>
      <w:pPr>
        <w:pStyle w:val="Normal"/>
      </w:pPr>
      <w:r>
        <w:t xml:space="preserve">Include (Включение) — обязательное включение одного прецедента в другой.</w:t>
      </w:r>
    </w:p>
    <w:p>
      <w:pPr>
        <w:pStyle w:val="Normal"/>
      </w:pPr>
      <w:r>
        <w:t xml:space="preserve">Extend (Расширение) — необязательное расширение функционала прецедента.</w:t>
      </w:r>
    </w:p>
    <w:p>
      <w:pPr>
        <w:pStyle w:val="Normal"/>
      </w:pPr>
      <w:r>
        <w:t xml:space="preserve">Generalization (Обобщение) — иерархическая связь наследования.</w:t>
      </w:r>
    </w:p>
    <w:p>
      <w:pPr>
        <w:pStyle w:val="Normal"/>
      </w:pPr>
      <w:r>
        <w:t xml:space="preserve">Бронирование — резервирование оборудования на период.</w:t>
      </w:r>
    </w:p>
    <w:p>
      <w:pPr>
        <w:pStyle w:val="Normal"/>
      </w:pPr>
      <w:r>
        <w:t xml:space="preserve">Заказ — подтвержденная и оплаченная аренда.</w:t>
      </w:r>
    </w:p>
    <w:p>
      <w:pPr>
        <w:pStyle w:val="Normal"/>
      </w:pPr>
      <w:r>
        <w:t xml:space="preserve">Каталог оборудования — список доступного для аренды оборудования.</w:t>
      </w:r>
    </w:p>
    <w:p>
      <w:pPr>
        <w:pStyle w:val="Normal"/>
      </w:pPr>
      <w:r>
        <w:t xml:space="preserve">Инвентаризация — сверка фактического наличия с данными системы.</w:t>
      </w:r>
    </w:p>
    <w:p>
      <w:pPr>
        <w:pStyle w:val="Normal"/>
      </w:pPr>
      <w:r>
        <w:t xml:space="preserve">Тариф — стоимость аренды за период времени.</w:t>
      </w:r>
    </w:p>
    <w:p>
      <w:pPr>
        <w:pStyle w:val="Normal"/>
      </w:pPr>
      <w:r>
        <w:t xml:space="preserve">Статус заказа — текущее состояние заказа.</w:t>
      </w:r>
    </w:p>
    <w:p>
      <w:pPr>
        <w:pStyle w:val="Normal"/>
      </w:pPr>
      <w:r>
        <w:t xml:space="preserve">Роль — набор прав доступа пользователя в системе.</w:t>
      </w:r>
    </w:p>
    <w:p>
      <w:pPr>
        <w:pStyle w:val="Normal"/>
      </w:pPr>
      <w:r>
        <w:t xml:space="preserve">Комплектность — полный набор компонентов оборудования.</w:t>
      </w:r>
    </w:p>
    <w:bookmarkEnd w:id="45"/>
    <w:bookmarkStart w:id="46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23"/>
        </w:numPr>
      </w:pPr>
      <w:r>
        <w:t xml:space="preserve">Для чего создается диаграмма прецедентов?</w:t>
      </w:r>
    </w:p>
    <w:p>
      <w:pPr>
        <w:pStyle w:val="Normal"/>
      </w:pPr>
      <w:r>
        <w:t xml:space="preserve">Диаграмма прецедентов создается для описания общих функциональных требований к системе. Она помогает визуализировать функции системы и определить, кто будет с ней взаимодействовать. Это основной инструмент для определения границ системы на ранних этапах проектирования.</w:t>
      </w:r>
    </w:p>
    <w:p>
      <w:pPr>
        <w:pStyle w:val="Compact"/>
        <w:numPr>
          <w:ilvl w:val="0"/>
          <w:numId w:val="1024"/>
        </w:numPr>
      </w:pPr>
      <w:r>
        <w:t xml:space="preserve">Что позволяет определить использование диаграммы прецедентов?</w:t>
      </w:r>
    </w:p>
    <w:p>
      <w:pPr>
        <w:pStyle w:val="Normal"/>
      </w:pPr>
      <w:r>
        <w:t xml:space="preserve">Диаграмма прецедентов позволяет определить пользователей системы (действующих субъектов), границы проектируемой системы, интерфейсы системы и функциональные требования. Также она помогает создавать тесты, документацию и облегчает коммуникацию в команде.</w:t>
      </w:r>
    </w:p>
    <w:p>
      <w:pPr>
        <w:pStyle w:val="Compact"/>
        <w:numPr>
          <w:ilvl w:val="0"/>
          <w:numId w:val="1025"/>
        </w:numPr>
      </w:pPr>
      <w:r>
        <w:t xml:space="preserve">Назовите главный элемент диаграммы прецедентов.</w:t>
      </w:r>
    </w:p>
    <w:p>
      <w:pPr>
        <w:pStyle w:val="Normal"/>
      </w:pPr>
      <w:r>
        <w:t xml:space="preserve">Главными элементами являются Actor (Действующий субъект) — участник, взаимодействующий с системой, и Use Case (Прецедент) — функция системы. Оба элемента одинаково важны: без субъектов нет взаимодействия, без прецедентов нет функционала.</w:t>
      </w:r>
    </w:p>
    <w:p>
      <w:pPr>
        <w:pStyle w:val="Compact"/>
        <w:numPr>
          <w:ilvl w:val="0"/>
          <w:numId w:val="1026"/>
        </w:numPr>
      </w:pPr>
      <w:r>
        <w:t xml:space="preserve">Что такое прецедент?</w:t>
      </w:r>
    </w:p>
    <w:p>
      <w:pPr>
        <w:pStyle w:val="Normal"/>
      </w:pPr>
      <w:r>
        <w:t xml:space="preserve">Прецедент (use case) — графическое описание набора последовательных событий, выполнение которых системой приводит к результату, наблюдаемому участником. Прецедент описывает функцию системы с точки зрения пользователя. Графически изображается эллипсом с названием внутри.</w:t>
      </w:r>
    </w:p>
    <w:p>
      <w:pPr>
        <w:pStyle w:val="Compact"/>
        <w:numPr>
          <w:ilvl w:val="0"/>
          <w:numId w:val="1027"/>
        </w:numPr>
      </w:pPr>
      <w:r>
        <w:t xml:space="preserve">На какой вопрос должна отвечать диаграмма прецедентов?</w:t>
      </w:r>
    </w:p>
    <w:p>
      <w:pPr>
        <w:pStyle w:val="Normal"/>
      </w:pPr>
      <w:r>
        <w:t xml:space="preserve">Диаграмма прецедентов должна отвечать на вопрос ЧТО делает система. Она показывает, что происходит, какие функции выполняются и какие результаты достигаются, но не описывает, как это реализовано.</w:t>
      </w:r>
    </w:p>
    <w:p>
      <w:pPr>
        <w:pStyle w:val="Compact"/>
        <w:numPr>
          <w:ilvl w:val="0"/>
          <w:numId w:val="1028"/>
        </w:numPr>
      </w:pPr>
      <w:r>
        <w:t xml:space="preserve">Для чего необходимы связи на диаграмме прецедентов?</w:t>
      </w:r>
    </w:p>
    <w:p>
      <w:pPr>
        <w:pStyle w:val="Normal"/>
      </w:pPr>
      <w:r>
        <w:t xml:space="preserve">Связи необходимы для отображения ассоциаций (кто использует какие функции), зависимостей между прецедентами (как функции связаны) и иерархических отношений (обобщение субъектов или прецедентов). Связи помогают избежать дублирования и упрощают диаграмму.</w:t>
      </w:r>
    </w:p>
    <w:p>
      <w:pPr>
        <w:pStyle w:val="Compact"/>
        <w:numPr>
          <w:ilvl w:val="0"/>
          <w:numId w:val="1029"/>
        </w:numPr>
      </w:pPr>
      <w:r>
        <w:t xml:space="preserve">Назовите два типа связей прецедентов UML.</w:t>
      </w:r>
    </w:p>
    <w:p>
      <w:pPr>
        <w:pStyle w:val="Normal"/>
      </w:pPr>
      <w:r>
        <w:t xml:space="preserve">Два основных типа связей: Включение (&lt;</w:t>
      </w:r>
      <w:r>
        <w:t xml:space="preserve">&gt;) — один прецедент обязательно включает функционал другого, и Расширение (&lt;</w:t>
      </w:r>
      <w:r>
        <w:t xml:space="preserve">&gt;) — один прецедент необязательно расширяет функционал другого. Дополнительно: обобщение (generalization) — иерархическая связь наследования.</w:t>
      </w:r>
    </w:p>
    <w:bookmarkEnd w:id="46"/>
    <w:bookmarkStart w:id="47" w:name="выводы"/>
    <w:p>
      <w:pPr>
        <w:pStyle w:val="Heading1"/>
      </w:pPr>
      <w:r>
        <w:t xml:space="preserve">Выводы</w:t>
      </w:r>
    </w:p>
    <w:p>
      <w:pPr>
        <w:pStyle w:val="Normal"/>
      </w:pPr>
      <w:r>
        <w:t xml:space="preserve">В ходе выполнения практической работы № 2 была создана детальная диаграмма прецедентов для информационной системы SportRent.</w:t>
      </w:r>
    </w:p>
    <w:p>
      <w:pPr>
        <w:pStyle w:val="Normal"/>
      </w:pPr>
      <w:r>
        <w:t xml:space="preserve">Основные результаты:</w:t>
      </w:r>
    </w:p>
    <w:p>
      <w:pPr>
        <w:pStyle w:val="Compact"/>
        <w:numPr>
          <w:ilvl w:val="0"/>
          <w:numId w:val="1030"/>
        </w:numPr>
      </w:pPr>
      <w:r>
        <w:t xml:space="preserve">Определены 5 действующих субъектов: Клиент, Менеджер, Складской работник, Администратор, Платежная система. Установлены иерархические отношения (Администратор наследует права Менеджера).</w:t>
      </w:r>
    </w:p>
    <w:p>
      <w:pPr>
        <w:pStyle w:val="Compact"/>
        <w:numPr>
          <w:ilvl w:val="0"/>
          <w:numId w:val="1031"/>
        </w:numPr>
      </w:pPr>
      <w:r>
        <w:t xml:space="preserve">Идентифицировано 49 прецедентов, охватывающих 8 функциональных модулей системы: аутентификацию, каталог, бронирование, платежи, складские операции, управление, отчетность, администрирование.</w:t>
      </w:r>
    </w:p>
    <w:p>
      <w:pPr>
        <w:pStyle w:val="Compact"/>
        <w:numPr>
          <w:ilvl w:val="0"/>
          <w:numId w:val="1032"/>
        </w:numPr>
      </w:pPr>
      <w:r>
        <w:t xml:space="preserve">Установлены связи между прецедентами: включения (&lt;</w:t>
      </w:r>
      <w:r>
        <w:t xml:space="preserve">&gt;), расширения (&lt;</w:t>
      </w:r>
      <w:r>
        <w:t xml:space="preserve">&gt;) и обобщения (generalization).</w:t>
      </w:r>
    </w:p>
    <w:p>
      <w:pPr>
        <w:pStyle w:val="Compact"/>
        <w:numPr>
          <w:ilvl w:val="0"/>
          <w:numId w:val="1033"/>
        </w:numPr>
      </w:pPr>
      <w:r>
        <w:t xml:space="preserve">Описаны основные бизнес-процессы: аренда оборудования клиентом, управление каталогом, складские операции, администрирование.</w:t>
      </w:r>
    </w:p>
    <w:p>
      <w:pPr>
        <w:pStyle w:val="Compact"/>
        <w:numPr>
          <w:ilvl w:val="0"/>
          <w:numId w:val="1034"/>
        </w:numPr>
      </w:pPr>
      <w:r>
        <w:t xml:space="preserve">Создан глоссарий из 14 терминов для единого понимания ключевых концепций.</w:t>
      </w:r>
    </w:p>
    <w:p>
      <w:pPr>
        <w:pStyle w:val="Compact"/>
        <w:numPr>
          <w:ilvl w:val="0"/>
          <w:numId w:val="1035"/>
        </w:numPr>
      </w:pPr>
      <w:r>
        <w:t xml:space="preserve">Даны ответы на контрольные вопросы, демонстрирующие понимание теоретических основ диаграмм прецедентов.</w:t>
      </w:r>
    </w:p>
    <w:p>
      <w:pPr>
        <w:pStyle w:val="Normal"/>
      </w:pPr>
      <w:r>
        <w:t xml:space="preserve">Практическая значимость:</w:t>
      </w:r>
    </w:p>
    <w:p>
      <w:pPr>
        <w:pStyle w:val="Normal"/>
      </w:pPr>
      <w:r>
        <w:t xml:space="preserve">Созданная диаграмма показывает, что должна делать система SportRent и служит основой для детального проектирования системы, разработки пользовательских интерфейсов, создания тестовых сценариев, написания документации и оценки трудозатрат.</w:t>
      </w:r>
    </w:p>
    <w:p>
      <w:pPr>
        <w:pStyle w:val="Normal"/>
      </w:pPr>
      <w:r>
        <w:t xml:space="preserve">Диаграмма является полноценным описанием функциональных требований к системе SportRent и может использоваться на следующих этапах разработки.</w:t>
      </w:r>
    </w:p>
    <w:p>
      <w:pPr>
        <w:pStyle w:val="Normal"/>
      </w:pPr>
      <w:r>
        <w:t xml:space="preserve">Приобретенные навыки: создание диаграмм прецедентов в PlantUML, определение действующих субъектов и прецедентов, установление связей между элементами диаграммы, описание бизнес-процессов информационных систем, применение нотации UML для моделирования требований.</w:t>
      </w:r>
    </w:p>
    <w:p>
      <w:pPr>
        <w:pStyle w:val="Normal"/>
      </w:pPr>
      <w:r>
        <w:t xml:space="preserve">Дата выполнения: 02.11.2025</w:t>
      </w:r>
    </w:p>
    <w:p>
      <w:pPr>
        <w:pStyle w:val="Normal"/>
      </w:pPr>
      <w:r>
        <w:t xml:space="preserve">Подпись студента: _______________</w:t>
      </w:r>
    </w:p>
    <w:bookmarkEnd w:id="47"/>
    <w:sectPr w:rsidR="003066A2" w:rsidSect="00326D25">
      <w:footerReference r:id="rId7" w:type="default"/>
      <w:pgSz w:h="16838" w:w="11906"/>
      <w:pgMar w:bottom="1134" w:footer="709" w:gutter="0" w:header="709" w:left="1701" w:right="567" w:top="1134"/>
      <w:cols w:space="708"/>
      <w:titlePg/>
      <w:docGrid w:linePitch="38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21D04410" w14:textId="77777777" w:rsidR="001C6AB8" w:rsidRDefault="001C6AB8" w:rsidP="005D2A56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4230757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9DF8D38C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55DC6D0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firstLine="0" w:left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 w:left="0"/>
      </w:pPr>
      <w:rPr>
        <w:rFonts w:hint="default"/>
      </w:rPr>
    </w:lvl>
  </w:abstractNum>
  <w:abstractNum w15:restartNumberingAfterBreak="0" w:abstractNumId="4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hanging="360" w:left="214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86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358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430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502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74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646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718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909"/>
      </w:pPr>
      <w:rPr>
        <w:rFonts w:ascii="Wingdings" w:hAnsi="Wingdings" w:hint="default"/>
      </w:rPr>
    </w:lvl>
  </w:abstractNum>
  <w:abstractNum w15:restartNumberingAfterBreak="0" w:abstractNumId="5">
    <w:nsid w:val="24E35BFE"/>
    <w:multiLevelType w:val="multilevel"/>
    <w:tmpl w:val="4934B7DA"/>
    <w:lvl w:ilvl="0">
      <w:start w:val="1"/>
      <w:numFmt w:val="decimal"/>
      <w:pStyle w:val="Heading1"/>
      <w:suff w:val="space"/>
      <w:lvlText w:val="%1"/>
      <w:lvlJc w:val="left"/>
      <w:pPr>
        <w:ind w:firstLine="0" w:left="709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firstLine="0" w:left="709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709"/>
      </w:pPr>
      <w:rPr>
        <w:rFonts w:hint="default"/>
      </w:rPr>
    </w:lvl>
    <w:lvl w:ilvl="3">
      <w:start w:val="1"/>
      <w:numFmt w:val="decimal"/>
      <w:lvlRestart w:val="1"/>
      <w:pStyle w:val="Picturename"/>
      <w:suff w:val="space"/>
      <w:lvlText w:val="Рисунок %1.%4 —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pStyle w:val="Tablename"/>
      <w:suff w:val="space"/>
      <w:lvlText w:val="Таблица %1.%5 —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Restart w:val="1"/>
      <w:pStyle w:val="Listing"/>
      <w:suff w:val="space"/>
      <w:lvlText w:val="Листинг %1.%6 —"/>
      <w:lvlJc w:val="lef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 w:left="0"/>
      </w:pPr>
      <w:rPr>
        <w:rFonts w:hint="default"/>
      </w:rPr>
    </w:lvl>
  </w:abstractNum>
  <w:abstractNum w15:restartNumberingAfterBreak="0" w:abstractNumId="6">
    <w:nsid w:val="284F25F8"/>
    <w:multiLevelType w:val="hybridMultilevel"/>
    <w:tmpl w:val="CABADEF4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hanging="360" w:left="1429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43F71AF7"/>
    <w:multiLevelType w:val="hybridMultilevel"/>
    <w:tmpl w:val="AA201B8A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plc="E36AD9C2">
      <w:numFmt w:val="bullet"/>
      <w:lvlText w:val="-"/>
      <w:lvlJc w:val="left"/>
      <w:pPr>
        <w:ind w:hanging="360" w:left="2149"/>
      </w:pPr>
      <w:rPr>
        <w:rFonts w:ascii="Times New Roman" w:cs="Times New Roman" w:eastAsiaTheme="minorHAnsi" w:hAnsi="Times New Roman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9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pos="1276" w:val="num"/>
        </w:tabs>
        <w:ind w:hanging="567" w:left="1276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0">
    <w:nsid w:val="51FC014B"/>
    <w:multiLevelType w:val="hybridMultilevel"/>
    <w:tmpl w:val="9F98F154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1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5D0A1554"/>
    <w:multiLevelType w:val="hybridMultilevel"/>
    <w:tmpl w:val="D4B4AFA0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3">
    <w:nsid w:val="640B58EA"/>
    <w:multiLevelType w:val="hybridMultilevel"/>
    <w:tmpl w:val="F4BA4766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2149"/>
      </w:pPr>
    </w:lvl>
    <w:lvl w:ilvl="2" w:tentative="1" w:tplc="FFFFFFFF">
      <w:start w:val="1"/>
      <w:numFmt w:val="lowerRoman"/>
      <w:lvlText w:val="%3."/>
      <w:lvlJc w:val="right"/>
      <w:pPr>
        <w:ind w:hanging="180" w:left="2869"/>
      </w:pPr>
    </w:lvl>
    <w:lvl w:ilvl="3" w:tentative="1" w:tplc="FFFFFFFF">
      <w:start w:val="1"/>
      <w:numFmt w:val="decimal"/>
      <w:lvlText w:val="%4."/>
      <w:lvlJc w:val="left"/>
      <w:pPr>
        <w:ind w:hanging="360" w:left="3589"/>
      </w:pPr>
    </w:lvl>
    <w:lvl w:ilvl="4" w:tentative="1" w:tplc="FFFFFFFF">
      <w:start w:val="1"/>
      <w:numFmt w:val="lowerLetter"/>
      <w:lvlText w:val="%5."/>
      <w:lvlJc w:val="left"/>
      <w:pPr>
        <w:ind w:hanging="360" w:left="4309"/>
      </w:pPr>
    </w:lvl>
    <w:lvl w:ilvl="5" w:tentative="1" w:tplc="FFFFFFFF">
      <w:start w:val="1"/>
      <w:numFmt w:val="lowerRoman"/>
      <w:lvlText w:val="%6."/>
      <w:lvlJc w:val="right"/>
      <w:pPr>
        <w:ind w:hanging="180" w:left="5029"/>
      </w:pPr>
    </w:lvl>
    <w:lvl w:ilvl="6" w:tentative="1" w:tplc="FFFFFFFF">
      <w:start w:val="1"/>
      <w:numFmt w:val="decimal"/>
      <w:lvlText w:val="%7."/>
      <w:lvlJc w:val="left"/>
      <w:pPr>
        <w:ind w:hanging="360" w:left="5749"/>
      </w:pPr>
    </w:lvl>
    <w:lvl w:ilvl="7" w:tentative="1" w:tplc="FFFFFFFF">
      <w:start w:val="1"/>
      <w:numFmt w:val="lowerLetter"/>
      <w:lvlText w:val="%8."/>
      <w:lvlJc w:val="left"/>
      <w:pPr>
        <w:ind w:hanging="360" w:left="6469"/>
      </w:pPr>
    </w:lvl>
    <w:lvl w:ilvl="8" w:tentative="1" w:tplc="FFFFFFFF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4">
    <w:nsid w:val="65B51CDE"/>
    <w:multiLevelType w:val="hybridMultilevel"/>
    <w:tmpl w:val="2C763842"/>
    <w:lvl w:ilvl="0" w:tplc="0419000F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5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hanging="360" w:left="2138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6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7">
    <w:nsid w:val="7909113D"/>
    <w:multiLevelType w:val="hybridMultilevel"/>
    <w:tmpl w:val="111819E6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8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16cid:durableId="1818762989" w:numId="1">
    <w:abstractNumId w:val="7"/>
  </w:num>
  <w:num w16cid:durableId="1345088322" w:numId="2">
    <w:abstractNumId w:val="4"/>
  </w:num>
  <w:num w16cid:durableId="1581132145" w:numId="3">
    <w:abstractNumId w:val="18"/>
  </w:num>
  <w:num w16cid:durableId="1426881847" w:numId="4">
    <w:abstractNumId w:val="9"/>
  </w:num>
  <w:num w16cid:durableId="1529294893" w:numId="5">
    <w:abstractNumId w:val="15"/>
  </w:num>
  <w:num w16cid:durableId="1007949964" w:numId="6">
    <w:abstractNumId w:val="16"/>
  </w:num>
  <w:num w16cid:durableId="287131687"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80069663" w:numId="8">
    <w:abstractNumId w:val="5"/>
  </w:num>
  <w:num w16cid:durableId="23291384" w:numId="9">
    <w:abstractNumId w:val="3"/>
  </w:num>
  <w:num w16cid:durableId="432674944" w:numId="10">
    <w:abstractNumId w:val="11"/>
  </w:num>
  <w:num w16cid:durableId="1136752633" w:numId="11">
    <w:abstractNumId w:val="5"/>
  </w:num>
  <w:num w16cid:durableId="1048647118" w:numId="12">
    <w:abstractNumId w:val="5"/>
  </w:num>
  <w:num w16cid:durableId="1684434326" w:numId="13">
    <w:abstractNumId w:val="14"/>
  </w:num>
  <w:num w16cid:durableId="1262028696" w:numId="14">
    <w:abstractNumId w:val="13"/>
  </w:num>
  <w:num w16cid:durableId="334384034" w:numId="15">
    <w:abstractNumId w:val="10"/>
  </w:num>
  <w:num w16cid:durableId="298146093" w:numId="16">
    <w:abstractNumId w:val="12"/>
  </w:num>
  <w:num w16cid:durableId="963657915" w:numId="17">
    <w:abstractNumId w:val="17"/>
  </w:num>
  <w:num w16cid:durableId="1972518006" w:numId="18">
    <w:abstractNumId w:val="8"/>
  </w:num>
  <w:num w16cid:durableId="1046223520" w:numId="19">
    <w:abstractNumId w:val="6"/>
  </w:num>
  <w:num w16cid:durableId="1033730921" w:numId="20">
    <w:abstractNumId w:val="0"/>
  </w:num>
  <w:num w16cid:durableId="513765581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919058" w:numId="22">
    <w:abstractNumId w:val="1"/>
  </w:num>
  <w:num w16cid:durableId="1898542278" w:numId="23">
    <w:abstractNumId w:val="1"/>
  </w:num>
  <w:num w16cid:durableId="645816810"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18821978" w:numId="25">
    <w:abstractNumId w:val="1"/>
  </w:num>
  <w:num w16cid:durableId="1739353886" w:numId="26">
    <w:abstractNumId w:val="1"/>
  </w:num>
  <w:num w16cid:durableId="441456053" w:numId="27">
    <w:abstractNumId w:val="1"/>
  </w:num>
  <w:num w16cid:durableId="27873969"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25011297" w:numId="29">
    <w:abstractNumId w:val="1"/>
  </w:num>
  <w:num w16cid:durableId="1347706573" w:numId="30">
    <w:abstractNumId w:val="1"/>
  </w:num>
  <w:num w16cid:durableId="1480729283" w:numId="31">
    <w:abstractNumId w:val="1"/>
  </w:num>
  <w:num w16cid:durableId="1055398814"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90168086" w:numId="33">
    <w:abstractNumId w:val="1"/>
  </w:num>
  <w:num w16cid:durableId="836385918" w:numId="34">
    <w:abstractNumId w:val="1"/>
  </w:num>
  <w:num w16cid:durableId="1256206355"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5254079" w:numId="36">
    <w:abstractNumId w:val="1"/>
  </w:num>
  <w:num w16cid:durableId="884100380" w:numId="37">
    <w:abstractNumId w:val="1"/>
  </w:num>
  <w:num w16cid:durableId="286087716" w:numId="38">
    <w:abstractNumId w:val="1"/>
  </w:num>
  <w:num w16cid:durableId="1113397533" w:numId="39">
    <w:abstractNumId w:val="1"/>
  </w:num>
  <w:num w16cid:durableId="1177114359" w:numId="40">
    <w:abstractNumId w:val="0"/>
  </w:num>
  <w:num w16cid:durableId="1950161660"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99586962" w:numId="42">
    <w:abstractNumId w:val="1"/>
  </w:num>
  <w:num w16cid:durableId="1686978881" w:numId="43">
    <w:abstractNumId w:val="1"/>
  </w:num>
  <w:num w16cid:durableId="1606690879" w:numId="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42489" w:numId="45">
    <w:abstractNumId w:val="1"/>
  </w:num>
  <w:num w16cid:durableId="1842038432" w:numId="46">
    <w:abstractNumId w:val="1"/>
  </w:num>
  <w:num w16cid:durableId="1454865716" w:numId="47">
    <w:abstractNumId w:val="1"/>
  </w:num>
  <w:num w16cid:durableId="1004823546" w:numId="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2648406" w:numId="49">
    <w:abstractNumId w:val="1"/>
  </w:num>
  <w:num w16cid:durableId="1250501655" w:numId="50">
    <w:abstractNumId w:val="1"/>
  </w:num>
  <w:num w16cid:durableId="1954169715" w:numId="51">
    <w:abstractNumId w:val="1"/>
  </w:num>
  <w:num w16cid:durableId="179585081" w:numId="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55376182" w:numId="53">
    <w:abstractNumId w:val="1"/>
  </w:num>
  <w:num w16cid:durableId="638917216" w:numId="54">
    <w:abstractNumId w:val="1"/>
  </w:num>
  <w:num w16cid:durableId="1723794202" w:numId="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95686022" w:numId="56">
    <w:abstractNumId w:val="1"/>
  </w:num>
  <w:num w16cid:durableId="1939634124" w:numId="57">
    <w:abstractNumId w:val="1"/>
  </w:num>
  <w:num w16cid:durableId="1032078336" w:numId="58">
    <w:abstractNumId w:val="1"/>
  </w:num>
  <w:num w16cid:durableId="1522040580" w:numId="59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proofState w:grammar="clean" w:spelling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8C"/>
    <w:rsid w:val="00056477"/>
    <w:rsid w:val="00057D1B"/>
    <w:rsid w:val="000B6931"/>
    <w:rsid w:val="0014040D"/>
    <w:rsid w:val="001814A6"/>
    <w:rsid w:val="001827CC"/>
    <w:rsid w:val="00184355"/>
    <w:rsid w:val="001848CF"/>
    <w:rsid w:val="001A5907"/>
    <w:rsid w:val="001C6AB8"/>
    <w:rsid w:val="001F75E7"/>
    <w:rsid w:val="001F7695"/>
    <w:rsid w:val="00245A1E"/>
    <w:rsid w:val="002E562E"/>
    <w:rsid w:val="003066A2"/>
    <w:rsid w:val="00326D25"/>
    <w:rsid w:val="00396C9A"/>
    <w:rsid w:val="003D7B70"/>
    <w:rsid w:val="00405F48"/>
    <w:rsid w:val="004338BD"/>
    <w:rsid w:val="004636B0"/>
    <w:rsid w:val="004C01DC"/>
    <w:rsid w:val="004C769D"/>
    <w:rsid w:val="004D0F31"/>
    <w:rsid w:val="004F4796"/>
    <w:rsid w:val="00527F0F"/>
    <w:rsid w:val="00567EBA"/>
    <w:rsid w:val="00595D0D"/>
    <w:rsid w:val="005A58DE"/>
    <w:rsid w:val="005D2A56"/>
    <w:rsid w:val="005F12CA"/>
    <w:rsid w:val="00621D02"/>
    <w:rsid w:val="006511BD"/>
    <w:rsid w:val="006C66EC"/>
    <w:rsid w:val="006D746C"/>
    <w:rsid w:val="006F0EB0"/>
    <w:rsid w:val="0075705A"/>
    <w:rsid w:val="007B058C"/>
    <w:rsid w:val="008204B1"/>
    <w:rsid w:val="00842319"/>
    <w:rsid w:val="00892636"/>
    <w:rsid w:val="008E5A80"/>
    <w:rsid w:val="008F0F76"/>
    <w:rsid w:val="00A379F5"/>
    <w:rsid w:val="00A511B9"/>
    <w:rsid w:val="00A71F5B"/>
    <w:rsid w:val="00A80784"/>
    <w:rsid w:val="00AA072A"/>
    <w:rsid w:val="00B20377"/>
    <w:rsid w:val="00B24A35"/>
    <w:rsid w:val="00B25006"/>
    <w:rsid w:val="00BD5D74"/>
    <w:rsid w:val="00BE4672"/>
    <w:rsid w:val="00BF00B1"/>
    <w:rsid w:val="00BF7127"/>
    <w:rsid w:val="00C807CB"/>
    <w:rsid w:val="00C83F6B"/>
    <w:rsid w:val="00C8733A"/>
    <w:rsid w:val="00CD5E11"/>
    <w:rsid w:val="00CE7CAA"/>
    <w:rsid w:val="00D346E6"/>
    <w:rsid w:val="00DA7439"/>
    <w:rsid w:val="00DB041F"/>
    <w:rsid w:val="00E61C8C"/>
    <w:rsid w:val="00ED596A"/>
    <w:rsid w:val="00F55475"/>
    <w:rsid w:val="00F8337F"/>
    <w:rsid w:val="00FF0905"/>
    <w:rsid w:val="00FF1817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cs="Times New Roman" w:hAnsi="Times New Roman"/>
      <w:sz w:val="28"/>
      <w:szCs w:val="28"/>
    </w:rPr>
  </w:style>
  <w:style w:styleId="Heading1" w:type="paragraph">
    <w:name w:val="heading 1"/>
    <w:next w:val="Normal"/>
    <w:link w:val="Heading1Char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cstheme="majorBidi" w:eastAsiaTheme="majorEastAsia" w:hAnsi="Times New Roman"/>
      <w:b/>
      <w:caps/>
      <w:color w:themeColor="text1" w:val="000000"/>
      <w:sz w:val="36"/>
      <w:szCs w:val="32"/>
    </w:rPr>
  </w:style>
  <w:style w:styleId="Heading2" w:type="paragraph">
    <w:name w:val="heading 2"/>
    <w:next w:val="Normal"/>
    <w:link w:val="Heading2Char"/>
    <w:uiPriority w:val="9"/>
    <w:unhideWhenUsed/>
    <w:qFormat/>
    <w:rsid w:val="00184355"/>
    <w:pPr>
      <w:keepNext/>
      <w:keepLines/>
      <w:numPr>
        <w:ilvl w:val="1"/>
        <w:numId w:val="12"/>
      </w:numPr>
      <w:spacing w:after="567" w:before="851" w:line="360" w:lineRule="auto"/>
      <w:outlineLvl w:val="1"/>
    </w:pPr>
    <w:rPr>
      <w:rFonts w:ascii="Times New Roman" w:cstheme="majorBidi" w:eastAsiaTheme="majorEastAsia" w:hAnsi="Times New Roman"/>
      <w:b/>
      <w:color w:themeColor="text1" w:val="000000"/>
      <w:sz w:val="32"/>
      <w:szCs w:val="26"/>
    </w:rPr>
  </w:style>
  <w:style w:styleId="Heading3" w:type="paragraph">
    <w:name w:val="heading 3"/>
    <w:next w:val="Normal"/>
    <w:link w:val="Heading3Char"/>
    <w:uiPriority w:val="9"/>
    <w:unhideWhenUsed/>
    <w:qFormat/>
    <w:rsid w:val="00184355"/>
    <w:pPr>
      <w:keepNext/>
      <w:keepLines/>
      <w:numPr>
        <w:ilvl w:val="2"/>
        <w:numId w:val="12"/>
      </w:numPr>
      <w:spacing w:after="567" w:before="851" w:line="360" w:lineRule="auto"/>
      <w:outlineLvl w:val="2"/>
    </w:pPr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814A6"/>
    <w:rPr>
      <w:rFonts w:ascii="Times New Roman" w:cstheme="majorBidi" w:eastAsiaTheme="majorEastAsia" w:hAnsi="Times New Roman"/>
      <w:b/>
      <w:caps/>
      <w:color w:themeColor="text1" w:val="000000"/>
      <w:sz w:val="36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B25006"/>
    <w:rPr>
      <w:rFonts w:ascii="Times New Roman" w:cstheme="majorBidi" w:eastAsiaTheme="majorEastAsia" w:hAnsi="Times New Roman"/>
      <w:b/>
      <w:color w:themeColor="text1" w:val="000000"/>
      <w:sz w:val="32"/>
      <w:szCs w:val="26"/>
    </w:rPr>
  </w:style>
  <w:style w:styleId="Title" w:type="paragraph">
    <w:name w:val="Title"/>
    <w:aliases w:val="Заголовок3"/>
    <w:basedOn w:val="Heading2"/>
    <w:next w:val="Normal"/>
    <w:link w:val="TitleChar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customStyle="1" w:styleId="TitleChar" w:type="character">
    <w:name w:val="Title Char"/>
    <w:aliases w:val="Заголовок3 Char"/>
    <w:basedOn w:val="DefaultParagraphFont"/>
    <w:link w:val="Title"/>
    <w:uiPriority w:val="10"/>
    <w:rsid w:val="00BF7127"/>
    <w:rPr>
      <w:rFonts w:ascii="Times New Roman" w:cstheme="majorBidi" w:eastAsiaTheme="majorEastAsia" w:hAnsi="Times New Roman"/>
      <w:b/>
      <w:color w:themeColor="text1" w:val="000000"/>
      <w:spacing w:val="-10"/>
      <w:kern w:val="28"/>
      <w:sz w:val="28"/>
      <w:szCs w:val="56"/>
    </w:rPr>
  </w:style>
  <w:style w:customStyle="1" w:styleId="Heading3Char" w:type="character">
    <w:name w:val="Heading 3 Char"/>
    <w:basedOn w:val="DefaultParagraphFont"/>
    <w:link w:val="Heading3"/>
    <w:uiPriority w:val="9"/>
    <w:rsid w:val="001814A6"/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customStyle="1" w:styleId="Content" w:type="paragraph">
    <w:name w:val="Content"/>
    <w:next w:val="Normal"/>
    <w:link w:val="ContentChar"/>
    <w:qFormat/>
    <w:rsid w:val="001C6AB8"/>
    <w:pPr>
      <w:tabs>
        <w:tab w:leader="dot" w:pos="9345" w:val="right"/>
      </w:tabs>
      <w:spacing w:after="0" w:line="360" w:lineRule="auto"/>
    </w:pPr>
    <w:rPr>
      <w:rFonts w:ascii="Times New Roman" w:cs="Times New Roman" w:hAnsi="Times New Roman"/>
      <w:noProof/>
      <w:sz w:val="28"/>
      <w:szCs w:val="28"/>
    </w:rPr>
  </w:style>
  <w:style w:styleId="TOCHeading" w:type="paragraph">
    <w:name w:val="TOC Heading"/>
    <w:basedOn w:val="Heading1"/>
    <w:next w:val="Normal"/>
    <w:link w:val="TOCHeadingChar"/>
    <w:uiPriority w:val="39"/>
    <w:unhideWhenUsed/>
    <w:rsid w:val="00A511B9"/>
    <w:pPr>
      <w:keepLines/>
      <w:pageBreakBefore w:val="0"/>
      <w:widowControl/>
      <w:spacing w:after="0" w:before="240" w:line="259" w:lineRule="auto"/>
      <w:ind w:firstLine="709" w:left="0"/>
      <w:jc w:val="both"/>
      <w:outlineLvl w:val="9"/>
    </w:pPr>
    <w:rPr>
      <w:rFonts w:asciiTheme="majorHAnsi" w:hAnsiTheme="majorHAnsi"/>
      <w:b w:val="0"/>
      <w:caps w:val="0"/>
      <w:color w:themeColor="accent1" w:themeShade="BF" w:val="2F5496"/>
      <w:sz w:val="32"/>
      <w:lang w:eastAsia="ru-RU"/>
    </w:rPr>
  </w:style>
  <w:style w:customStyle="1" w:styleId="ContentChar" w:type="character">
    <w:name w:val="Content Char"/>
    <w:basedOn w:val="Heading1Char"/>
    <w:link w:val="Content"/>
    <w:rsid w:val="001C6AB8"/>
    <w:rPr>
      <w:rFonts w:ascii="Times New Roman" w:cs="Times New Roman" w:eastAsiaTheme="majorEastAsia" w:hAnsi="Times New Roman"/>
      <w:b w:val="0"/>
      <w:caps w:val="0"/>
      <w:noProof/>
      <w:color w:themeColor="text1" w:val="000000"/>
      <w:sz w:val="28"/>
      <w:szCs w:val="28"/>
    </w:rPr>
  </w:style>
  <w:style w:styleId="TOC1" w:type="paragraph">
    <w:name w:val="toc 1"/>
    <w:basedOn w:val="Normal"/>
    <w:next w:val="Normal"/>
    <w:autoRedefine/>
    <w:uiPriority w:val="39"/>
    <w:unhideWhenUsed/>
    <w:rsid w:val="00A511B9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A511B9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A511B9"/>
    <w:pPr>
      <w:spacing w:after="100"/>
      <w:ind w:left="440"/>
    </w:pPr>
  </w:style>
  <w:style w:styleId="Hyperlink" w:type="character">
    <w:name w:val="Hyperlink"/>
    <w:basedOn w:val="DefaultParagraphFont"/>
    <w:uiPriority w:val="99"/>
    <w:unhideWhenUsed/>
    <w:rsid w:val="00A511B9"/>
    <w:rPr>
      <w:color w:themeColor="hyperlink" w:val="0563C1"/>
      <w:u w:val="single"/>
    </w:rPr>
  </w:style>
  <w:style w:customStyle="1" w:styleId="TOCHeading0" w:type="paragraph">
    <w:name w:val="TOCHeading"/>
    <w:link w:val="TOCHeadingChar0"/>
    <w:qFormat/>
    <w:rsid w:val="001C6AB8"/>
    <w:pPr>
      <w:spacing w:after="567" w:line="360" w:lineRule="auto"/>
      <w:jc w:val="center"/>
    </w:pPr>
    <w:rPr>
      <w:rFonts w:ascii="Times New Roman" w:cs="Times New Roman" w:eastAsiaTheme="majorEastAsia" w:hAnsi="Times New Roman"/>
      <w:b/>
      <w:bCs/>
      <w:caps/>
      <w:color w:themeColor="text1" w:val="000000"/>
      <w:sz w:val="36"/>
      <w:szCs w:val="36"/>
      <w:lang w:eastAsia="ru-RU"/>
    </w:rPr>
  </w:style>
  <w:style w:styleId="ListParagraph" w:type="paragraph">
    <w:name w:val="List Paragraph"/>
    <w:basedOn w:val="Normal"/>
    <w:uiPriority w:val="34"/>
    <w:qFormat/>
    <w:rsid w:val="00396C9A"/>
    <w:pPr>
      <w:ind w:left="720"/>
      <w:contextualSpacing/>
    </w:pPr>
  </w:style>
  <w:style w:customStyle="1" w:styleId="TOCHeadingChar" w:type="character">
    <w:name w:val="TOC Heading Char"/>
    <w:basedOn w:val="Heading1Char"/>
    <w:link w:val="TOCHeading"/>
    <w:uiPriority w:val="39"/>
    <w:rsid w:val="001814A6"/>
    <w:rPr>
      <w:rFonts w:asciiTheme="majorHAnsi" w:cstheme="majorBidi" w:eastAsiaTheme="majorEastAsia" w:hAnsiTheme="majorHAnsi"/>
      <w:b w:val="0"/>
      <w:caps w:val="0"/>
      <w:color w:themeColor="accent1" w:themeShade="BF" w:val="2F5496"/>
      <w:sz w:val="32"/>
      <w:szCs w:val="32"/>
      <w:lang w:eastAsia="ru-RU"/>
    </w:rPr>
  </w:style>
  <w:style w:customStyle="1" w:styleId="TOCHeadingChar0" w:type="character">
    <w:name w:val="TOCHeading Char"/>
    <w:basedOn w:val="TOCHeadingChar"/>
    <w:link w:val="TOCHeading0"/>
    <w:rsid w:val="001C6AB8"/>
    <w:rPr>
      <w:rFonts w:ascii="Times New Roman" w:cs="Times New Roman" w:eastAsiaTheme="majorEastAsia" w:hAnsi="Times New Roman"/>
      <w:b/>
      <w:bCs/>
      <w:caps/>
      <w:color w:themeColor="text1" w:val="000000"/>
      <w:sz w:val="36"/>
      <w:szCs w:val="36"/>
      <w:lang w:eastAsia="ru-RU"/>
    </w:rPr>
  </w:style>
  <w:style w:styleId="Header" w:type="paragraph">
    <w:name w:val="header"/>
    <w:basedOn w:val="Normal"/>
    <w:link w:val="HeaderChar"/>
    <w:uiPriority w:val="99"/>
    <w:unhideWhenUsed/>
    <w:rsid w:val="001C6AB8"/>
    <w:pPr>
      <w:tabs>
        <w:tab w:pos="4677" w:val="center"/>
        <w:tab w:pos="9355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1C6AB8"/>
    <w:rPr>
      <w:rFonts w:ascii="Times New Roman" w:cs="Times New Roman" w:hAnsi="Times New Roman"/>
      <w:sz w:val="28"/>
      <w:szCs w:val="28"/>
    </w:rPr>
  </w:style>
  <w:style w:styleId="Footer" w:type="paragraph">
    <w:name w:val="footer"/>
    <w:basedOn w:val="Normal"/>
    <w:link w:val="FooterChar"/>
    <w:uiPriority w:val="99"/>
    <w:unhideWhenUsed/>
    <w:rsid w:val="001C6AB8"/>
    <w:pPr>
      <w:tabs>
        <w:tab w:pos="4677" w:val="center"/>
        <w:tab w:pos="9355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1C6AB8"/>
    <w:rPr>
      <w:rFonts w:ascii="Times New Roman" w:cs="Times New Roman" w:hAnsi="Times New Roman"/>
      <w:sz w:val="28"/>
      <w:szCs w:val="28"/>
    </w:rPr>
  </w:style>
  <w:style w:styleId="TableGrid" w:type="table">
    <w:name w:val="Table Grid"/>
    <w:basedOn w:val="TableNormal"/>
    <w:uiPriority w:val="39"/>
    <w:rsid w:val="001C6A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name" w:type="paragraph">
    <w:name w:val="Table name"/>
    <w:basedOn w:val="Normal"/>
    <w:next w:val="Table"/>
    <w:link w:val="TablenameChar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customStyle="1" w:styleId="Table" w:type="paragraph">
    <w:name w:val="Table"/>
    <w:basedOn w:val="Normal"/>
    <w:link w:val="TableChar"/>
    <w:qFormat/>
    <w:rsid w:val="00BE4672"/>
    <w:pPr>
      <w:spacing w:line="240" w:lineRule="auto"/>
      <w:ind w:firstLine="0"/>
    </w:pPr>
    <w:rPr>
      <w:sz w:val="24"/>
      <w:szCs w:val="24"/>
    </w:rPr>
  </w:style>
  <w:style w:customStyle="1" w:styleId="TablenameChar" w:type="character">
    <w:name w:val="Table name Char"/>
    <w:basedOn w:val="DefaultParagraphFont"/>
    <w:link w:val="Tablename"/>
    <w:rsid w:val="004C769D"/>
    <w:rPr>
      <w:rFonts w:ascii="Times New Roman" w:cs="Times New Roman" w:hAnsi="Times New Roman"/>
      <w:i/>
      <w:iCs/>
      <w:sz w:val="24"/>
      <w:szCs w:val="24"/>
    </w:rPr>
  </w:style>
  <w:style w:customStyle="1" w:styleId="Picturename" w:type="paragraph">
    <w:name w:val="Picture name"/>
    <w:basedOn w:val="Normal"/>
    <w:next w:val="Normal"/>
    <w:link w:val="PicturenameChar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customStyle="1" w:styleId="TableChar" w:type="character">
    <w:name w:val="Table Char"/>
    <w:basedOn w:val="DefaultParagraphFont"/>
    <w:link w:val="Table"/>
    <w:rsid w:val="00BE4672"/>
    <w:rPr>
      <w:rFonts w:ascii="Times New Roman" w:cs="Times New Roman" w:hAnsi="Times New Roman"/>
      <w:sz w:val="24"/>
      <w:szCs w:val="24"/>
    </w:rPr>
  </w:style>
  <w:style w:customStyle="1" w:styleId="PicturenameChar" w:type="character">
    <w:name w:val="Picture name Char"/>
    <w:basedOn w:val="DefaultParagraphFont"/>
    <w:link w:val="Picturename"/>
    <w:rsid w:val="00184355"/>
    <w:rPr>
      <w:rFonts w:ascii="Times New Roman" w:cs="Times New Roman" w:hAnsi="Times New Roman"/>
      <w:b/>
      <w:bCs/>
      <w:sz w:val="24"/>
      <w:szCs w:val="24"/>
    </w:rPr>
  </w:style>
  <w:style w:customStyle="1" w:styleId="Listing" w:type="paragraph">
    <w:name w:val="Listing"/>
    <w:basedOn w:val="Tablename"/>
    <w:next w:val="Code"/>
    <w:link w:val="ListingChar"/>
    <w:qFormat/>
    <w:rsid w:val="00184355"/>
    <w:pPr>
      <w:numPr>
        <w:ilvl w:val="5"/>
      </w:numPr>
    </w:pPr>
  </w:style>
  <w:style w:customStyle="1" w:styleId="ListingChar" w:type="character">
    <w:name w:val="Listing Char"/>
    <w:basedOn w:val="TablenameChar"/>
    <w:link w:val="Listing"/>
    <w:rsid w:val="005D2A56"/>
    <w:rPr>
      <w:rFonts w:ascii="Times New Roman" w:cs="Times New Roman" w:hAnsi="Times New Roman"/>
      <w:i/>
      <w:iCs/>
      <w:sz w:val="24"/>
      <w:szCs w:val="24"/>
    </w:rPr>
  </w:style>
  <w:style w:styleId="NoSpacing" w:type="paragraph">
    <w:name w:val="No Spacing"/>
    <w:link w:val="NoSpacingChar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customStyle="1" w:styleId="Code" w:type="paragraph">
    <w:name w:val="Code"/>
    <w:basedOn w:val="NoSpacing"/>
    <w:link w:val="CodeChar"/>
    <w:autoRedefine/>
    <w:qFormat/>
    <w:rsid w:val="004F4796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ind w:firstLine="0"/>
      <w:jc w:val="left"/>
    </w:pPr>
    <w:rPr>
      <w:rFonts w:ascii="Courier New" w:cs="Courier New" w:hAnsi="Courier New"/>
      <w:sz w:val="24"/>
      <w:szCs w:val="24"/>
      <w:lang w:val="ru-RU"/>
    </w:rPr>
  </w:style>
  <w:style w:customStyle="1" w:styleId="NoSpacingChar" w:type="character">
    <w:name w:val="No Spacing Char"/>
    <w:basedOn w:val="DefaultParagraphFont"/>
    <w:link w:val="NoSpacing"/>
    <w:uiPriority w:val="1"/>
    <w:rsid w:val="005D2A56"/>
    <w:rPr>
      <w:rFonts w:ascii="Times New Roman" w:eastAsiaTheme="minorEastAsia" w:hAnsi="Times New Roman"/>
      <w:sz w:val="28"/>
      <w:lang w:eastAsia="ru-RU"/>
    </w:rPr>
  </w:style>
  <w:style w:customStyle="1" w:styleId="CodeChar" w:type="character">
    <w:name w:val="Code Char"/>
    <w:basedOn w:val="NoSpacingChar"/>
    <w:link w:val="Code"/>
    <w:rsid w:val="004F4796"/>
    <w:rPr>
      <w:rFonts w:ascii="Courier New" w:cs="Courier New" w:eastAsiaTheme="minorEastAsia" w:hAnsi="Courier New"/>
      <w:sz w:val="24"/>
      <w:szCs w:val="24"/>
      <w:lang w:eastAsia="ru-RU" w:val="ru-RU"/>
    </w:rPr>
  </w:style>
  <w:style w:customStyle="1" w:styleId="Picture" w:type="paragraph">
    <w:name w:val="Picture"/>
    <w:basedOn w:val="Normal"/>
    <w:next w:val="Picturename"/>
    <w:link w:val="PictureChar"/>
    <w:qFormat/>
    <w:rsid w:val="00184355"/>
    <w:pPr>
      <w:keepNext/>
      <w:ind w:firstLine="0"/>
      <w:jc w:val="center"/>
    </w:pPr>
  </w:style>
  <w:style w:customStyle="1" w:styleId="PictureChar" w:type="character">
    <w:name w:val="Picture Char"/>
    <w:basedOn w:val="DefaultParagraphFont"/>
    <w:link w:val="Picture"/>
    <w:rsid w:val="00184355"/>
    <w:rPr>
      <w:rFonts w:ascii="Times New Roman" w:cs="Times New Roman" w:hAnsi="Times New Roman"/>
      <w:sz w:val="28"/>
      <w:szCs w:val="28"/>
    </w:rPr>
  </w:style>
  <w:style w:customStyle="1" w:styleId="a" w:type="paragraph">
    <w:name w:val="a"/>
  </w:style>
  <w:style w:customStyle="1" w:styleId="a0" w:type="paragraph">
    <w:name w:val="a0"/>
  </w:style>
  <w:style w:customStyle="1" w:styleId="a1" w:type="paragraph">
    <w:name w:val="a1"/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FollowedHyperlink" w:type="character">
    <w:name w:val="FollowedHyperlink"/>
    <w:basedOn w:val="DefaultParagraphFont"/>
    <w:uiPriority w:val="99"/>
    <w:semiHidden/>
    <w:unhideWhenUsed/>
    <w:rsid w:val="00C8733A"/>
    <w:rPr>
      <w:color w:themeColor="followedHyperlink" w:val="954F72"/>
      <w:u w:val="single"/>
    </w:rPr>
  </w:style>
  <w:style w:customStyle="1" w:styleId="Contentword" w:type="character">
    <w:name w:val="Content wor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55;&#1050;&#1057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C:\Users\gribk\Documents\Настраиваемые шаблоны Office\ПКСС.dotx</Template>
  <TotalTime>12</TotalTime>
  <Pages>22</Pages>
  <Words>2685</Words>
  <Characters>15308</Characters>
  <Application>Microsoft Office Word</Application>
  <DocSecurity>0</DocSecurity>
  <Lines>127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</dc:title>
  <dc:creator>[ФИО студента]</dc:creator>
  <dc:language>ru-RU</dc:language>
  <cp:keywords/>
  <dcterms:created xsi:type="dcterms:W3CDTF">2025-11-02T11:23:12Z</dcterms:created>
  <dcterms:modified xsi:type="dcterms:W3CDTF">2025-11-02T11:23:12Z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02.11.2025</vt:lpwstr>
  </property>
  <property fmtid="{D5CDD505-2E9C-101B-9397-08002B2CF9AE}" pid="3" name="subtitle">
    <vt:lpwstr>Проектирование диаграммы прецедентов информационной системы в нотации UML</vt:lpwstr>
  </property>
</Properties>
</file>