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Практическая работа № 8. Расчет информационной энтропии проектируемой системы</w:t>
      </w:r>
    </w:p>
    <w:p>
      <w:pPr>
        <w:pStyle w:val="Author"/>
      </w:pPr>
      <w:r>
        <w:t xml:space="preserve">Грибков Александр</w:t>
      </w:r>
    </w:p>
    <w:p>
      <w:pPr>
        <w:pStyle w:val="Date"/>
      </w:pPr>
      <w:r>
        <w:t xml:space="preserve">02.11.2025</w:t>
      </w:r>
    </w:p>
    <w:bookmarkStart w:id="16" w:name="X288cf00c9c77c7eab126e77c15e00a6b9ea4d91"/>
    <w:p>
      <w:pPr>
        <w:pStyle w:val="Heading1"/>
      </w:pPr>
      <w:r>
        <w:t xml:space="preserve">Практическая работа № 8. Расчет информационной энтропии проектируемой системы</w:t>
      </w:r>
    </w:p>
    <w:p>
      <w:pPr>
        <w:pStyle w:val="Heading2"/>
      </w:pPr>
      <w:r>
        <w:t xml:space="preserve">Цель работы</w:t>
      </w:r>
    </w:p>
    <w:p>
      <w:pPr>
        <w:pStyle w:val="Normal"/>
      </w:pPr>
      <w:r>
        <w:t xml:space="preserve">Целями выполнения работы являются:</w:t>
      </w:r>
    </w:p>
    <w:p>
      <w:pPr>
        <w:pStyle w:val="Compact"/>
        <w:numPr>
          <w:ilvl w:val="0"/>
          <w:numId w:val="1001"/>
        </w:numPr>
      </w:pPr>
      <w:r>
        <w:t xml:space="preserve">Закрепление имеющихся знаний о параметрах ИС. Изучение методологии расчета требуемых параметров проектируемой информационной системы.</w:t>
      </w:r>
    </w:p>
    <w:p>
      <w:pPr>
        <w:pStyle w:val="Compact"/>
        <w:numPr>
          <w:ilvl w:val="0"/>
          <w:numId w:val="1001"/>
        </w:numPr>
      </w:pPr>
      <w:r>
        <w:t xml:space="preserve">Приобретение навыков анализа и формализованного описания заданной предметной области.</w:t>
      </w:r>
    </w:p>
    <w:p>
      <w:pPr>
        <w:pStyle w:val="Compact"/>
        <w:numPr>
          <w:ilvl w:val="0"/>
          <w:numId w:val="1001"/>
        </w:numPr>
      </w:pPr>
      <w:r>
        <w:t xml:space="preserve">Приобретение навыков расчета параметров информационной системы.</w:t>
      </w:r>
    </w:p>
    <w:p>
      <w:pPr>
        <w:pStyle w:val="Normal"/>
      </w:pPr>
      <w:r>
        <w:t xml:space="preserve">В процессе выполнения работы решаются следующие задачи:</w:t>
      </w:r>
    </w:p>
    <w:p>
      <w:pPr>
        <w:pStyle w:val="Compact"/>
        <w:numPr>
          <w:ilvl w:val="0"/>
          <w:numId w:val="1002"/>
        </w:numPr>
      </w:pPr>
      <w:r>
        <w:t xml:space="preserve">Выполняется системный анализ заданной предметной области. Составляется формализованное описание информационных объектов предметной области.</w:t>
      </w:r>
    </w:p>
    <w:p>
      <w:pPr>
        <w:pStyle w:val="Compact"/>
        <w:numPr>
          <w:ilvl w:val="0"/>
          <w:numId w:val="1002"/>
        </w:numPr>
      </w:pPr>
      <w:r>
        <w:t xml:space="preserve">Выполняется расчет параметров проектируемой информационной системы.</w:t>
      </w:r>
    </w:p>
    <w:p>
      <w:pPr>
        <w:pStyle w:val="Heading2"/>
      </w:pPr>
      <w:r>
        <w:t xml:space="preserve">Описание элементарной семантической единицы (ЭСЕ)</w:t>
      </w:r>
    </w:p>
    <w:p>
      <w:pPr>
        <w:pStyle w:val="Normal"/>
      </w:pPr>
      <w:r>
        <w:t xml:space="preserve">Элементарная семантическая единица (ЭСЕ) – неделимая единица информации, использующаяся в ИС. ЭСЕ представляет собой завершенную контекстную конструкцию, вызываемую в результате поиска по различным атрибутам или в результате тех или иных команд в виде отклика или отчета.</w:t>
      </w:r>
    </w:p>
    <w:p>
      <w:pPr>
        <w:pStyle w:val="Normal"/>
      </w:pPr>
      <w:r>
        <w:t xml:space="preserve">В случае исследования системы SportRent за элементарную семантическую единицу была выбрана следующая характеристика:</w:t>
      </w:r>
      <w:r>
        <w:t xml:space="preserve"> </w:t>
      </w:r>
      <w:r>
        <w:rPr>
          <w:b/>
          <w:bCs/>
        </w:rPr>
        <w:t xml:space="preserve">количество заказов на аренду спортивного оборудования в день</w:t>
      </w:r>
      <w:r>
        <w:t xml:space="preserve">. Эта величина меняется случайным образом в пределах от 50 до 150 заказов в день.</w:t>
      </w:r>
    </w:p>
    <w:p>
      <w:pPr>
        <w:pStyle w:val="Normal"/>
      </w:pPr>
      <w:r>
        <w:t xml:space="preserve">Выбор данной ЭСЕ обусловлен следующими причинами:</w:t>
      </w:r>
    </w:p>
    <w:p>
      <w:pPr>
        <w:pStyle w:val="Compact"/>
        <w:numPr>
          <w:ilvl w:val="0"/>
          <w:numId w:val="1003"/>
        </w:numPr>
      </w:pPr>
      <w:r>
        <w:t xml:space="preserve">Количество заказов является ключевым параметром для оценки нагрузки на систему</w:t>
      </w:r>
    </w:p>
    <w:p>
      <w:pPr>
        <w:pStyle w:val="Compact"/>
        <w:numPr>
          <w:ilvl w:val="0"/>
          <w:numId w:val="1003"/>
        </w:numPr>
      </w:pPr>
      <w:r>
        <w:t xml:space="preserve">Данный параметр варьируется в зависимости от сезона, дня недели, популярности оборудования</w:t>
      </w:r>
    </w:p>
    <w:p>
      <w:pPr>
        <w:pStyle w:val="Compact"/>
        <w:numPr>
          <w:ilvl w:val="0"/>
          <w:numId w:val="1003"/>
        </w:numPr>
      </w:pPr>
      <w:r>
        <w:t xml:space="preserve">Значение влияет на производительность системы и требования к ресурсам</w:t>
      </w:r>
    </w:p>
    <w:p>
      <w:pPr>
        <w:pStyle w:val="Compact"/>
        <w:numPr>
          <w:ilvl w:val="0"/>
          <w:numId w:val="1003"/>
        </w:numPr>
      </w:pPr>
      <w:r>
        <w:t xml:space="preserve">Параметр имеет измеримый диапазон значений, что позволяет провести статистический анализ</w:t>
      </w:r>
    </w:p>
    <w:p>
      <w:pPr>
        <w:pStyle w:val="Heading2"/>
      </w:pPr>
      <w:r>
        <w:t xml:space="preserve">Наполнение системы</w:t>
      </w:r>
    </w:p>
    <w:p>
      <w:pPr>
        <w:pStyle w:val="Normal"/>
      </w:pPr>
      <w:r>
        <w:t xml:space="preserve">Проектируемая информационная система может быть наполнена практически любым количеством элементов базы данных. Их количество ограничивается только параметрами сервера.</w:t>
      </w:r>
    </w:p>
    <w:p>
      <w:pPr>
        <w:pStyle w:val="Normal"/>
      </w:pPr>
      <w:r>
        <w:t xml:space="preserve">В рамках данной работы система была наполнена 100 ЭСЕ. В рамках ограничений объема данной работы невозможно привести полный перечень всех записей ЭСЕ, поэтому пример первых десяти записей приведен в таблице 1.</w:t>
      </w:r>
    </w:p>
    <w:p>
      <w:pPr>
        <w:pStyle w:val="Normal"/>
      </w:pPr>
      <w:r>
        <w:t xml:space="preserve">Структуризация ведется по количеству заказов на аренду в день.</w:t>
      </w:r>
    </w:p>
    <w:p>
      <w:pPr>
        <w:pStyle w:val="Tablename"/>
      </w:pPr>
      <w:r>
        <w:t xml:space="preserve">Список элементарных семантических единиц (первые 10 записей)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</w:pPr>
            <w:r>
              <w:t xml:space="preserve">Параметр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Заказ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Заказ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Заказ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Заказ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Заказ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Заказ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Заказ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Заказ</w:t>
            </w:r>
          </w:p>
        </w:tc>
        <w:tc>
          <w:tcPr/>
          <w:p>
            <w:pPr>
              <w:pStyle w:val="Compac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Заказ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Заказ</w:t>
            </w:r>
          </w:p>
        </w:tc>
        <w:tc>
          <w:tcPr/>
          <w:p>
            <w:pPr>
              <w:pStyle w:val="Compact"/>
            </w:pPr>
            <w:r>
              <w:t xml:space="preserve">60</w:t>
            </w:r>
          </w:p>
        </w:tc>
      </w:tr>
    </w:tbl>
    <w:p>
      <w:pPr>
        <w:pStyle w:val="Heading2"/>
      </w:pPr>
      <w:r>
        <w:t xml:space="preserve">Математические расчеты</w:t>
      </w:r>
    </w:p>
    <w:p>
      <w:pPr>
        <w:pStyle w:val="Normal"/>
      </w:pPr>
      <w:r>
        <w:t xml:space="preserve">Для дальнейшего исследования проектируемой ИС необходимо рассчитать вероятности, с которыми ЭСЕ принимает то или иное значение. Для оценки этих вероятностей было принято решение разбить весь диапазон значений на 10 дискретных величин с шагом в 10,0 заказов.</w:t>
      </w:r>
    </w:p>
    <w:p>
      <w:pPr>
        <w:pStyle w:val="Normal"/>
      </w:pPr>
      <w:r>
        <w:t xml:space="preserve">Расчеты ведутся с помощью формулы P(ξ) = n/N, где n – благоприятное число исходов (в данном случае число заказов, попадающих в данный диапазон), а N – общее число исходов. В таблице 2 приведены возможные значения, принимаемые ЭСЕ и их вероятности.</w:t>
      </w:r>
    </w:p>
    <w:p>
      <w:pPr>
        <w:pStyle w:val="Tablename"/>
      </w:pPr>
      <w:r>
        <w:t xml:space="preserve">Ряд распределения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Интервал</w:t>
            </w:r>
          </w:p>
        </w:tc>
        <w:tc>
          <w:tcPr/>
          <w:p>
            <w:pPr>
              <w:pStyle w:val="Compact"/>
            </w:pPr>
            <w:r>
              <w:t xml:space="preserve">x (центр интервала)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P(x)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[50.0, 60.0)</w:t>
            </w:r>
          </w:p>
        </w:tc>
        <w:tc>
          <w:tcPr/>
          <w:p>
            <w:pPr>
              <w:pStyle w:val="Compact"/>
            </w:pPr>
            <w:r>
              <w:t xml:space="preserve">55.0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[60.0, 70.0)</w:t>
            </w:r>
          </w:p>
        </w:tc>
        <w:tc>
          <w:tcPr/>
          <w:p>
            <w:pPr>
              <w:pStyle w:val="Compact"/>
            </w:pPr>
            <w:r>
              <w:t xml:space="preserve">65.0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[70.0, 80.0)</w:t>
            </w:r>
          </w:p>
        </w:tc>
        <w:tc>
          <w:tcPr/>
          <w:p>
            <w:pPr>
              <w:pStyle w:val="Compact"/>
            </w:pPr>
            <w:r>
              <w:t xml:space="preserve">75.0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0.14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[80.0, 90.0)</w:t>
            </w:r>
          </w:p>
        </w:tc>
        <w:tc>
          <w:tcPr/>
          <w:p>
            <w:pPr>
              <w:pStyle w:val="Compact"/>
            </w:pPr>
            <w:r>
              <w:t xml:space="preserve">85.0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[90.0, 100.0)</w:t>
            </w:r>
          </w:p>
        </w:tc>
        <w:tc>
          <w:tcPr/>
          <w:p>
            <w:pPr>
              <w:pStyle w:val="Compact"/>
            </w:pPr>
            <w:r>
              <w:t xml:space="preserve">95.0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[100.0, 110.0)</w:t>
            </w:r>
          </w:p>
        </w:tc>
        <w:tc>
          <w:tcPr/>
          <w:p>
            <w:pPr>
              <w:pStyle w:val="Compact"/>
            </w:pPr>
            <w:r>
              <w:t xml:space="preserve">105.0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0.06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[110.0, 120.0)</w:t>
            </w:r>
          </w:p>
        </w:tc>
        <w:tc>
          <w:tcPr/>
          <w:p>
            <w:pPr>
              <w:pStyle w:val="Compact"/>
            </w:pPr>
            <w:r>
              <w:t xml:space="preserve">115.0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[120.0, 130.0)</w:t>
            </w:r>
          </w:p>
        </w:tc>
        <w:tc>
          <w:tcPr/>
          <w:p>
            <w:pPr>
              <w:pStyle w:val="Compact"/>
            </w:pPr>
            <w:r>
              <w:t xml:space="preserve">125.0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[130.0, 140.0)</w:t>
            </w:r>
          </w:p>
        </w:tc>
        <w:tc>
          <w:tcPr/>
          <w:p>
            <w:pPr>
              <w:pStyle w:val="Compact"/>
            </w:pPr>
            <w:r>
              <w:t xml:space="preserve">135.0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[140.0, 150.0]</w:t>
            </w:r>
          </w:p>
        </w:tc>
        <w:tc>
          <w:tcPr/>
          <w:p>
            <w:pPr>
              <w:pStyle w:val="Compact"/>
            </w:pPr>
            <w:r>
              <w:t xml:space="preserve">145.0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</w:tr>
    </w:tbl>
    <w:p>
      <w:pPr>
        <w:pStyle w:val="Heading2"/>
      </w:pPr>
      <w:r>
        <w:t xml:space="preserve">Расчет математического ожидания информационного блока системы</w:t>
      </w:r>
    </w:p>
    <w:p>
      <w:pPr>
        <w:pStyle w:val="Normal"/>
      </w:pPr>
      <w:r>
        <w:t xml:space="preserve">Математическим ожиданием случайной величины называется сумма произведений всех возможных значений случайной величины на вероятности этих значений. Рассчитаем математическое ожидание для нашей системы, взяв за случайную величину число заказов на аренду в день.</w:t>
      </w:r>
    </w:p>
    <w:p>
      <w:pPr>
        <w:pStyle w:val="Normal"/>
      </w:pPr>
      <w:r>
        <w:t xml:space="preserve">Расчёт математического ожидания информационного блока на примере 100 записей выполняется по формуле:</w:t>
      </w:r>
    </w:p>
    <w:p>
      <w:pPr>
        <w:pStyle w:val="Normal"/>
      </w:pPr>
      <w:r>
        <w:t xml:space="preserve">M(x) = Σ(x</w:t>
      </w:r>
      <w:r>
        <w:rPr>
          <w:vertAlign w:val="subscript"/>
        </w:rPr>
        <w:t xml:space="preserve">i</w:t>
      </w:r>
      <w:r>
        <w:t xml:space="preserve"> </w:t>
      </w:r>
      <w:r>
        <w:t xml:space="preserve">· P(x</w:t>
      </w:r>
      <w:r>
        <w:rPr>
          <w:vertAlign w:val="subscript"/>
        </w:rPr>
        <w:t xml:space="preserve">i</w:t>
      </w:r>
      <w:r>
        <w:t xml:space="preserve">))</w:t>
      </w:r>
    </w:p>
    <w:p>
      <w:pPr>
        <w:pStyle w:val="Normal"/>
      </w:pPr>
      <w:r>
        <w:t xml:space="preserve">где x</w:t>
      </w:r>
      <w:r>
        <w:rPr>
          <w:vertAlign w:val="subscript"/>
        </w:rPr>
        <w:t xml:space="preserve">i</w:t>
      </w:r>
      <w:r>
        <w:t xml:space="preserve"> </w:t>
      </w:r>
      <w:r>
        <w:t xml:space="preserve">– центр i-го интервала, P(x</w:t>
      </w:r>
      <w:r>
        <w:rPr>
          <w:vertAlign w:val="subscript"/>
        </w:rPr>
        <w:t xml:space="preserve">i</w:t>
      </w:r>
      <w:r>
        <w:t xml:space="preserve">) – вероятность попадания значения в i-й интервал.</w:t>
      </w:r>
    </w:p>
    <w:p>
      <w:pPr>
        <w:pStyle w:val="Normal"/>
      </w:pPr>
      <w:r>
        <w:t xml:space="preserve">Используя данные, полученные в таблице 2, получаем:</w:t>
      </w:r>
    </w:p>
    <w:p>
      <w:pPr>
        <w:pStyle w:val="Normal"/>
      </w:pPr>
      <w:r>
        <w:t xml:space="preserve">M(x) = 55.0 · 0.09 + 65.0 · 0.13 + 75.0 · 0.14 + 85.0 · 0.10 + 95.0 · 0.11 + 105.0 · 0.06 + 115.0 · 0.05 + 125.0 · 0.09 + 135.0 · 0.13 + 145.0 · 0.10 = 98.20 заказов</w:t>
      </w:r>
    </w:p>
    <w:p>
      <w:pPr>
        <w:pStyle w:val="Normal"/>
      </w:pPr>
      <w:r>
        <w:t xml:space="preserve">Следовательно, наиболее вероятное количество заказов на аренду находится в районе 98.20 заказов в день.</w:t>
      </w:r>
    </w:p>
    <w:p>
      <w:pPr>
        <w:pStyle w:val="Heading2"/>
      </w:pPr>
      <w:r>
        <w:t xml:space="preserve">Расчет дисперсии информационного блока системы</w:t>
      </w:r>
    </w:p>
    <w:p>
      <w:pPr>
        <w:pStyle w:val="Normal"/>
      </w:pPr>
      <w:r>
        <w:t xml:space="preserve">Дисперсия характеризует меру разброса значений случайной величины относительно её математического ожидания. Расчёт дисперсии выполняется по формуле:</w:t>
      </w:r>
    </w:p>
    <w:p>
      <w:pPr>
        <w:pStyle w:val="Normal"/>
      </w:pPr>
      <w:r>
        <w:t xml:space="preserve">D(x) = Σ((x</w:t>
      </w:r>
      <w:r>
        <w:rPr>
          <w:vertAlign w:val="subscript"/>
        </w:rPr>
        <w:t xml:space="preserve">i</w:t>
      </w:r>
      <w:r>
        <w:t xml:space="preserve"> </w:t>
      </w:r>
      <w:r>
        <w:t xml:space="preserve">- M(x))</w:t>
      </w:r>
      <w:r>
        <w:rPr>
          <w:vertAlign w:val="superscript"/>
        </w:rPr>
        <w:t xml:space="preserve">2</w:t>
      </w:r>
      <w:r>
        <w:t xml:space="preserve"> </w:t>
      </w:r>
      <w:r>
        <w:t xml:space="preserve">· P(x</w:t>
      </w:r>
      <w:r>
        <w:rPr>
          <w:vertAlign w:val="subscript"/>
        </w:rPr>
        <w:t xml:space="preserve">i</w:t>
      </w:r>
      <w:r>
        <w:t xml:space="preserve">))</w:t>
      </w:r>
    </w:p>
    <w:p>
      <w:pPr>
        <w:pStyle w:val="Normal"/>
      </w:pPr>
      <w:r>
        <w:t xml:space="preserve">где x</w:t>
      </w:r>
      <w:r>
        <w:rPr>
          <w:vertAlign w:val="subscript"/>
        </w:rPr>
        <w:t xml:space="preserve">i</w:t>
      </w:r>
      <w:r>
        <w:t xml:space="preserve"> </w:t>
      </w:r>
      <w:r>
        <w:t xml:space="preserve">– центр i-го интервала, M(x) – математическое ожидание, P(x</w:t>
      </w:r>
      <w:r>
        <w:rPr>
          <w:vertAlign w:val="subscript"/>
        </w:rPr>
        <w:t xml:space="preserve">i</w:t>
      </w:r>
      <w:r>
        <w:t xml:space="preserve">) – вероятность попадания значения в i-й интервал.</w:t>
      </w:r>
    </w:p>
    <w:p>
      <w:pPr>
        <w:pStyle w:val="Normal"/>
      </w:pPr>
      <w:r>
        <w:t xml:space="preserve">Используя данные, полученные в таблице 2 и вычисленное математическое ожидание M(x) = 98.20, получаем:</w:t>
      </w:r>
    </w:p>
    <w:p>
      <w:pPr>
        <w:pStyle w:val="Normal"/>
      </w:pPr>
      <w:r>
        <w:t xml:space="preserve">D(x) = (55.0 - 98.20)</w:t>
      </w:r>
      <w:r>
        <w:rPr>
          <w:vertAlign w:val="superscript"/>
        </w:rPr>
        <w:t xml:space="preserve">2</w:t>
      </w:r>
      <w:r>
        <w:t xml:space="preserve"> </w:t>
      </w:r>
      <w:r>
        <w:t xml:space="preserve">· 0.09 + (65.0 - 98.20)</w:t>
      </w:r>
      <w:r>
        <w:rPr>
          <w:vertAlign w:val="superscript"/>
        </w:rPr>
        <w:t xml:space="preserve">2</w:t>
      </w:r>
      <w:r>
        <w:t xml:space="preserve"> </w:t>
      </w:r>
      <w:r>
        <w:t xml:space="preserve">· 0.13 + (75.0 - 98.20)</w:t>
      </w:r>
      <w:r>
        <w:rPr>
          <w:vertAlign w:val="superscript"/>
        </w:rPr>
        <w:t xml:space="preserve">2</w:t>
      </w:r>
      <w:r>
        <w:t xml:space="preserve"> </w:t>
      </w:r>
      <w:r>
        <w:t xml:space="preserve">· 0.14 + (85.0 - 98.20)</w:t>
      </w:r>
      <w:r>
        <w:rPr>
          <w:vertAlign w:val="superscript"/>
        </w:rPr>
        <w:t xml:space="preserve">2</w:t>
      </w:r>
      <w:r>
        <w:t xml:space="preserve"> </w:t>
      </w:r>
      <w:r>
        <w:t xml:space="preserve">· 0.10 + (95.0 - 98.20)</w:t>
      </w:r>
      <w:r>
        <w:rPr>
          <w:vertAlign w:val="superscript"/>
        </w:rPr>
        <w:t xml:space="preserve">2</w:t>
      </w:r>
      <w:r>
        <w:t xml:space="preserve"> </w:t>
      </w:r>
      <w:r>
        <w:t xml:space="preserve">· 0.11 + (105.0 - 98.20)</w:t>
      </w:r>
      <w:r>
        <w:rPr>
          <w:vertAlign w:val="superscript"/>
        </w:rPr>
        <w:t xml:space="preserve">2</w:t>
      </w:r>
      <w:r>
        <w:t xml:space="preserve"> </w:t>
      </w:r>
      <w:r>
        <w:t xml:space="preserve">· 0.06 + (115.0 - 98.20)</w:t>
      </w:r>
      <w:r>
        <w:rPr>
          <w:vertAlign w:val="superscript"/>
        </w:rPr>
        <w:t xml:space="preserve">2</w:t>
      </w:r>
      <w:r>
        <w:t xml:space="preserve"> </w:t>
      </w:r>
      <w:r>
        <w:t xml:space="preserve">· 0.05 + (125.0 - 98.20)</w:t>
      </w:r>
      <w:r>
        <w:rPr>
          <w:vertAlign w:val="superscript"/>
        </w:rPr>
        <w:t xml:space="preserve">2</w:t>
      </w:r>
      <w:r>
        <w:t xml:space="preserve"> </w:t>
      </w:r>
      <w:r>
        <w:t xml:space="preserve">· 0.09 + (135.0 - 98.20)</w:t>
      </w:r>
      <w:r>
        <w:rPr>
          <w:vertAlign w:val="superscript"/>
        </w:rPr>
        <w:t xml:space="preserve">2</w:t>
      </w:r>
      <w:r>
        <w:t xml:space="preserve"> </w:t>
      </w:r>
      <w:r>
        <w:t xml:space="preserve">· 0.13 + (145.0 - 98.20)</w:t>
      </w:r>
      <w:r>
        <w:rPr>
          <w:vertAlign w:val="superscript"/>
        </w:rPr>
        <w:t xml:space="preserve">2</w:t>
      </w:r>
      <w:r>
        <w:t xml:space="preserve"> </w:t>
      </w:r>
      <w:r>
        <w:t xml:space="preserve">· 0.10 = 881.76 заказов</w:t>
      </w:r>
      <w:r>
        <w:rPr>
          <w:vertAlign w:val="superscript"/>
        </w:rPr>
        <w:t xml:space="preserve">2</w:t>
      </w:r>
    </w:p>
    <w:p>
      <w:pPr>
        <w:pStyle w:val="Heading2"/>
      </w:pPr>
      <w:r>
        <w:t xml:space="preserve">Расчет среднеквадратического отклонения</w:t>
      </w:r>
    </w:p>
    <w:p>
      <w:pPr>
        <w:pStyle w:val="Normal"/>
      </w:pPr>
      <w:r>
        <w:t xml:space="preserve">Среднеквадратическое отклонение характеризует меру разброса значений в тех же единицах измерения, что и исходные данные. Расчёт среднеквадратического отклонения выполняется по формуле:</w:t>
      </w:r>
    </w:p>
    <w:p>
      <w:pPr>
        <w:pStyle w:val="Normal"/>
      </w:pPr>
      <w:r>
        <w:t xml:space="preserve">σ(x) = √D(x)</w:t>
      </w:r>
    </w:p>
    <w:p>
      <w:pPr>
        <w:pStyle w:val="Normal"/>
      </w:pPr>
      <w:r>
        <w:t xml:space="preserve">Используя вычисленное значение дисперсии D(x) = 881.76, получаем:</w:t>
      </w:r>
    </w:p>
    <w:p>
      <w:pPr>
        <w:pStyle w:val="Normal"/>
      </w:pPr>
      <w:r>
        <w:t xml:space="preserve">σ(x) = √881.76 = 29.69 заказов</w:t>
      </w:r>
    </w:p>
    <w:p>
      <w:pPr>
        <w:pStyle w:val="Normal"/>
      </w:pPr>
      <w:r>
        <w:t xml:space="preserve">Это означает, что типичное отклонение количества заказов от среднего значения составляет около 29.69 заказов.</w:t>
      </w:r>
    </w:p>
    <w:p>
      <w:pPr>
        <w:pStyle w:val="Heading2"/>
      </w:pPr>
      <w:r>
        <w:t xml:space="preserve">Расчет энтропии системы</w:t>
      </w:r>
    </w:p>
    <w:p>
      <w:pPr>
        <w:pStyle w:val="Normal"/>
      </w:pPr>
      <w:r>
        <w:t xml:space="preserve">Энтропия системы – это сумма произведений вероятностей различных состояний системы на логарифмы этих вероятностей, взятая с обратным знаком. Энтропия характеризует степень неопределенности информации в системе.</w:t>
      </w:r>
    </w:p>
    <w:p>
      <w:pPr>
        <w:pStyle w:val="Normal"/>
      </w:pPr>
      <w:r>
        <w:t xml:space="preserve">Расчёт энтропии выполняется по формуле Шеннона:</w:t>
      </w:r>
    </w:p>
    <w:p>
      <w:pPr>
        <w:pStyle w:val="Normal"/>
      </w:pPr>
      <w:r>
        <w:t xml:space="preserve">H(x) = -Σ(P(x</w:t>
      </w:r>
      <w:r>
        <w:rPr>
          <w:vertAlign w:val="subscript"/>
        </w:rPr>
        <w:t xml:space="preserve">i</w:t>
      </w:r>
      <w:r>
        <w:t xml:space="preserve">) · log</w:t>
      </w:r>
      <w:r>
        <w:rPr>
          <w:vertAlign w:val="subscript"/>
        </w:rPr>
        <w:t xml:space="preserve">2</w:t>
      </w:r>
      <w:r>
        <w:t xml:space="preserve">(P(x</w:t>
      </w:r>
      <w:r>
        <w:rPr>
          <w:vertAlign w:val="subscript"/>
        </w:rPr>
        <w:t xml:space="preserve">i</w:t>
      </w:r>
      <w:r>
        <w:t xml:space="preserve">)))</w:t>
      </w:r>
    </w:p>
    <w:p>
      <w:pPr>
        <w:pStyle w:val="Normal"/>
      </w:pPr>
      <w:r>
        <w:t xml:space="preserve">где P(x</w:t>
      </w:r>
      <w:r>
        <w:rPr>
          <w:vertAlign w:val="subscript"/>
        </w:rPr>
        <w:t xml:space="preserve">i</w:t>
      </w:r>
      <w:r>
        <w:t xml:space="preserve">) – вероятность i-го состояния системы, log</w:t>
      </w:r>
      <w:r>
        <w:rPr>
          <w:vertAlign w:val="subscript"/>
        </w:rPr>
        <w:t xml:space="preserve">2</w:t>
      </w:r>
      <w:r>
        <w:t xml:space="preserve"> </w:t>
      </w:r>
      <w:r>
        <w:t xml:space="preserve">– логарифм по основанию 2.</w:t>
      </w:r>
    </w:p>
    <w:p>
      <w:pPr>
        <w:pStyle w:val="Normal"/>
      </w:pPr>
      <w:r>
        <w:t xml:space="preserve">За основание логарифма взята двоичная система счисления. Энтропия фрагмента информационного наполнения в размере 100 ЭСЕ:</w:t>
      </w:r>
    </w:p>
    <w:p>
      <w:pPr>
        <w:pStyle w:val="Normal"/>
      </w:pPr>
      <w:r>
        <w:t xml:space="preserve">Используя данные, полученные в таблице 2, получаем:</w:t>
      </w:r>
    </w:p>
    <w:p>
      <w:pPr>
        <w:pStyle w:val="Normal"/>
      </w:pPr>
      <w:r>
        <w:t xml:space="preserve">H(x) = -(0.09 · log</w:t>
      </w:r>
      <w:r>
        <w:rPr>
          <w:vertAlign w:val="subscript"/>
        </w:rPr>
        <w:t xml:space="preserve">2</w:t>
      </w:r>
      <w:r>
        <w:t xml:space="preserve">(0.09) + 0.13 · log</w:t>
      </w:r>
      <w:r>
        <w:rPr>
          <w:vertAlign w:val="subscript"/>
        </w:rPr>
        <w:t xml:space="preserve">2</w:t>
      </w:r>
      <w:r>
        <w:t xml:space="preserve">(0.13) + 0.14 · log</w:t>
      </w:r>
      <w:r>
        <w:rPr>
          <w:vertAlign w:val="subscript"/>
        </w:rPr>
        <w:t xml:space="preserve">2</w:t>
      </w:r>
      <w:r>
        <w:t xml:space="preserve">(0.14) + 0.10 · log</w:t>
      </w:r>
      <w:r>
        <w:rPr>
          <w:vertAlign w:val="subscript"/>
        </w:rPr>
        <w:t xml:space="preserve">2</w:t>
      </w:r>
      <w:r>
        <w:t xml:space="preserve">(0.10) + 0.11 · log</w:t>
      </w:r>
      <w:r>
        <w:rPr>
          <w:vertAlign w:val="subscript"/>
        </w:rPr>
        <w:t xml:space="preserve">2</w:t>
      </w:r>
      <w:r>
        <w:t xml:space="preserve">(0.11) + 0.06 · log</w:t>
      </w:r>
      <w:r>
        <w:rPr>
          <w:vertAlign w:val="subscript"/>
        </w:rPr>
        <w:t xml:space="preserve">2</w:t>
      </w:r>
      <w:r>
        <w:t xml:space="preserve">(0.06) + 0.05 · log</w:t>
      </w:r>
      <w:r>
        <w:rPr>
          <w:vertAlign w:val="subscript"/>
        </w:rPr>
        <w:t xml:space="preserve">2</w:t>
      </w:r>
      <w:r>
        <w:t xml:space="preserve">(0.05) + 0.09 · log</w:t>
      </w:r>
      <w:r>
        <w:rPr>
          <w:vertAlign w:val="subscript"/>
        </w:rPr>
        <w:t xml:space="preserve">2</w:t>
      </w:r>
      <w:r>
        <w:t xml:space="preserve">(0.09) + 0.13 · log</w:t>
      </w:r>
      <w:r>
        <w:rPr>
          <w:vertAlign w:val="subscript"/>
        </w:rPr>
        <w:t xml:space="preserve">2</w:t>
      </w:r>
      <w:r>
        <w:t xml:space="preserve">(0.13) + 0.10 · log</w:t>
      </w:r>
      <w:r>
        <w:rPr>
          <w:vertAlign w:val="subscript"/>
        </w:rPr>
        <w:t xml:space="preserve">2</w:t>
      </w:r>
      <w:r>
        <w:t xml:space="preserve">(0.10)) = 3.262 бит</w:t>
      </w:r>
    </w:p>
    <w:p>
      <w:pPr>
        <w:pStyle w:val="Normal"/>
      </w:pPr>
      <w:r>
        <w:t xml:space="preserve">Значение энтропии 3.262 бит указывает на достаточно высокую степень неопределенности в системе, что свидетельствует о разнообразии возможных состояний системы.</w:t>
      </w:r>
    </w:p>
    <w:p>
      <w:pPr>
        <w:pStyle w:val="Heading2"/>
      </w:pPr>
      <w:r>
        <w:t xml:space="preserve">Итоговая таблица результатов</w:t>
      </w:r>
    </w:p>
    <w:p>
      <w:pPr>
        <w:pStyle w:val="Normal"/>
      </w:pPr>
      <w:r>
        <w:t xml:space="preserve">В данной практической работе был осуществлен расчет основных характеристик проектируемой ИС, и получены следующие результаты:</w:t>
      </w:r>
    </w:p>
    <w:p>
      <w:pPr>
        <w:pStyle w:val="Tablename"/>
      </w:pPr>
      <w:r>
        <w:t xml:space="preserve">Параметры проектируемой ИС SportRent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Математическое ожидание информационного блока</w:t>
            </w:r>
          </w:p>
        </w:tc>
        <w:tc>
          <w:tcPr/>
          <w:p>
            <w:pPr>
              <w:pStyle w:val="Compact"/>
            </w:pPr>
            <w:r>
              <w:t xml:space="preserve">98.20 заказов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Допустимый разброс значений смысловых информационных блоков (дисперсия)</w:t>
            </w:r>
          </w:p>
        </w:tc>
        <w:tc>
          <w:tcPr/>
          <w:p>
            <w:pPr>
              <w:pStyle w:val="Compact"/>
            </w:pPr>
            <w:r>
              <w:t xml:space="preserve">881.76 заказов</w:t>
            </w:r>
            <w:r>
              <w:rPr>
                <w:vertAlign w:val="superscript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Среднеквадратическое отклонение</w:t>
            </w:r>
          </w:p>
        </w:tc>
        <w:tc>
          <w:tcPr/>
          <w:p>
            <w:pPr>
              <w:pStyle w:val="Compact"/>
            </w:pPr>
            <w:r>
              <w:t xml:space="preserve">29.69 заказов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Энтропия информационного наполнения</w:t>
            </w:r>
          </w:p>
        </w:tc>
        <w:tc>
          <w:tcPr/>
          <w:p>
            <w:pPr>
              <w:pStyle w:val="Compact"/>
            </w:pPr>
            <w:r>
              <w:t xml:space="preserve">3.262 бит</w:t>
            </w:r>
          </w:p>
        </w:tc>
      </w:tr>
    </w:tbl>
    <w:p>
      <w:pPr>
        <w:pStyle w:val="Heading2"/>
      </w:pPr>
      <w:r>
        <w:t xml:space="preserve">Вывод</w:t>
      </w:r>
    </w:p>
    <w:p>
      <w:pPr>
        <w:pStyle w:val="Normal"/>
      </w:pPr>
      <w:r>
        <w:t xml:space="preserve">В ходе выполнения практической работы № 8 был проведен расчет информационной энтропии проектируемой системы SportRent – системы управления арендой спортивного оборудования.</w:t>
      </w:r>
    </w:p>
    <w:p>
      <w:pPr>
        <w:pStyle w:val="Normal"/>
      </w:pPr>
      <w:r>
        <w:t xml:space="preserve">В качестве элементарной семантической единицы (ЭСЕ) было выбрано количество заказов на аренду спортивного оборудования в день, что является ключевым параметром для оценки нагрузки на систему. Система была наполнена 100 записями ЭСЕ с диапазоном значений от 50 до 150 заказов в день.</w:t>
      </w:r>
    </w:p>
    <w:p>
      <w:pPr>
        <w:pStyle w:val="Normal"/>
      </w:pPr>
      <w:r>
        <w:t xml:space="preserve">Проведенный статистический анализ позволил получить следующие результаты:</w:t>
      </w:r>
    </w:p>
    <w:p>
      <w:pPr>
        <w:pStyle w:val="Compact"/>
        <w:numPr>
          <w:ilvl w:val="0"/>
          <w:numId w:val="1004"/>
        </w:numPr>
      </w:pPr>
      <w:r>
        <w:t xml:space="preserve">Математическое ожидание составило 98.20 заказов, что указывает на среднее ожидаемое количество заказов в день</w:t>
      </w:r>
    </w:p>
    <w:p>
      <w:pPr>
        <w:pStyle w:val="Compact"/>
        <w:numPr>
          <w:ilvl w:val="0"/>
          <w:numId w:val="1004"/>
        </w:numPr>
      </w:pPr>
      <w:r>
        <w:t xml:space="preserve">Дисперсия 881.76 заказов</w:t>
      </w:r>
      <w:r>
        <w:rPr>
          <w:vertAlign w:val="superscript"/>
        </w:rPr>
        <w:t xml:space="preserve">2</w:t>
      </w:r>
      <w:r>
        <w:t xml:space="preserve"> </w:t>
      </w:r>
      <w:r>
        <w:t xml:space="preserve">и среднеквадратическое отклонение 29.69 заказов свидетельствуют о значительной вариативности нагрузки на систему</w:t>
      </w:r>
    </w:p>
    <w:p>
      <w:pPr>
        <w:pStyle w:val="Compact"/>
        <w:numPr>
          <w:ilvl w:val="0"/>
          <w:numId w:val="1004"/>
        </w:numPr>
      </w:pPr>
      <w:r>
        <w:t xml:space="preserve">Энтропия информационного наполнения составила 3.262 бит, что говорит о достаточно высокой степени неопределенности и разнообразии состояний системы</w:t>
      </w:r>
    </w:p>
    <w:p>
      <w:pPr>
        <w:pStyle w:val="Normal"/>
      </w:pPr>
      <w:r>
        <w:t xml:space="preserve">Полученные результаты позволяют сделать вывод о необходимости проектирования системы с учетом значительной вариативности нагрузки. Система должна быть способна обрабатывать как минимальное количество заказов (около 50 в день), так и пиковые нагрузки (до 150 заказов в день). Высокое значение энтропии указывает на то, что система работает в условиях высокой неопределенности, что требует гибкой архитектуры и адаптивных механизмов масштабирования ресурсов.</w:t>
      </w:r>
    </w:p>
    <w:p>
      <w:pPr>
        <w:pStyle w:val="Normal"/>
      </w:pPr>
      <w:r>
        <w:t xml:space="preserve">Данные параметры могут быть использованы для оценки требований к производительности системы, планирования ресурсов и разработки стратегий оптимизации работы информационной системы SportRent.</w:t>
      </w:r>
    </w:p>
    <w:p>
      <w:pPr>
        <w:pStyle w:val="Heading2"/>
      </w:pPr>
      <w:r>
        <w:t xml:space="preserve">Контрольные вопросы</w:t>
      </w:r>
    </w:p>
    <w:p>
      <w:pPr>
        <w:pStyle w:val="Normal"/>
      </w:pPr>
      <w:r>
        <w:rPr>
          <w:b/>
          <w:bCs/>
        </w:rPr>
        <w:t xml:space="preserve">1. Что такое энтропия информационной системы?</w:t>
      </w:r>
    </w:p>
    <w:p>
      <w:pPr>
        <w:pStyle w:val="Normal"/>
      </w:pPr>
      <w:r>
        <w:t xml:space="preserve">Энтропия информационной системы – это мера неопределенности или степень хаотичности информации в системе. Она количественно характеризует среднее количество информации, содержащееся в сообщении о состоянии системы. Чем выше энтропия, тем более непредсказуемым является состояние системы, и тем больше информации требуется для его описания.</w:t>
      </w:r>
    </w:p>
    <w:p>
      <w:pPr>
        <w:pStyle w:val="Normal"/>
      </w:pPr>
      <w:r>
        <w:rPr>
          <w:b/>
          <w:bCs/>
        </w:rPr>
        <w:t xml:space="preserve">2. Дайте определение термину «Семантическая информация».</w:t>
      </w:r>
    </w:p>
    <w:p>
      <w:pPr>
        <w:pStyle w:val="Normal"/>
      </w:pPr>
      <w:r>
        <w:t xml:space="preserve">Семантическая информация – это информация, содержащая смысловое содержание сообщения. Семантическая мера информации связана с тезаурусом пользователя и отражает смысловую ценность информации для получателя. Она учитывает не только количество данных, но и их полезность и значимость для решения конкретных задач.</w:t>
      </w:r>
    </w:p>
    <w:p>
      <w:pPr>
        <w:pStyle w:val="Normal"/>
      </w:pPr>
      <w:r>
        <w:rPr>
          <w:b/>
          <w:bCs/>
        </w:rPr>
        <w:t xml:space="preserve">3. Что такое энтропия Шеннона?</w:t>
      </w:r>
    </w:p>
    <w:p>
      <w:pPr>
        <w:pStyle w:val="Normal"/>
      </w:pPr>
      <w:r>
        <w:t xml:space="preserve">Энтропия Шеннона – это математическая мера неопределенности случайной величины, введенная Клодом Шенноном в 1948 году. Она вычисляется по формуле H(x) = -Σ(P(x</w:t>
      </w:r>
      <w:r>
        <w:rPr>
          <w:vertAlign w:val="subscript"/>
        </w:rPr>
        <w:t xml:space="preserve">i</w:t>
      </w:r>
      <w:r>
        <w:t xml:space="preserve">) · log</w:t>
      </w:r>
      <w:r>
        <w:rPr>
          <w:vertAlign w:val="subscript"/>
        </w:rPr>
        <w:t xml:space="preserve">2</w:t>
      </w:r>
      <w:r>
        <w:t xml:space="preserve">(P(x</w:t>
      </w:r>
      <w:r>
        <w:rPr>
          <w:vertAlign w:val="subscript"/>
        </w:rPr>
        <w:t xml:space="preserve">i</w:t>
      </w:r>
      <w:r>
        <w:t xml:space="preserve">))), где P(x</w:t>
      </w:r>
      <w:r>
        <w:rPr>
          <w:vertAlign w:val="subscript"/>
        </w:rPr>
        <w:t xml:space="preserve">i</w:t>
      </w:r>
      <w:r>
        <w:t xml:space="preserve">) – вероятность i-го состояния системы. Энтропия Шеннона измеряется в битах и показывает среднее количество информации, необходимое для описания состояния системы.</w:t>
      </w:r>
    </w:p>
    <w:p>
      <w:pPr>
        <w:pStyle w:val="Normal"/>
      </w:pPr>
      <w:r>
        <w:rPr>
          <w:b/>
          <w:bCs/>
        </w:rPr>
        <w:t xml:space="preserve">4. Что такое дисперсия информации?</w:t>
      </w:r>
    </w:p>
    <w:p>
      <w:pPr>
        <w:pStyle w:val="Normal"/>
      </w:pPr>
      <w:r>
        <w:t xml:space="preserve">Дисперсия информации – это статистическая мера разброса значений случайной величины относительно её математического ожидания. Дисперсия вычисляется как среднее значение квадратов отклонений от математического ожидания: D(x) = Σ((x</w:t>
      </w:r>
      <w:r>
        <w:rPr>
          <w:vertAlign w:val="subscript"/>
        </w:rPr>
        <w:t xml:space="preserve">i</w:t>
      </w:r>
      <w:r>
        <w:t xml:space="preserve"> </w:t>
      </w:r>
      <w:r>
        <w:t xml:space="preserve">- M(x))</w:t>
      </w:r>
      <w:r>
        <w:rPr>
          <w:vertAlign w:val="superscript"/>
        </w:rPr>
        <w:t xml:space="preserve">2</w:t>
      </w:r>
      <w:r>
        <w:t xml:space="preserve"> </w:t>
      </w:r>
      <w:r>
        <w:t xml:space="preserve">· P(x</w:t>
      </w:r>
      <w:r>
        <w:rPr>
          <w:vertAlign w:val="subscript"/>
        </w:rPr>
        <w:t xml:space="preserve">i</w:t>
      </w:r>
      <w:r>
        <w:t xml:space="preserve">)). Чем больше дисперсия, тем более разнообразны значения величины.</w:t>
      </w:r>
    </w:p>
    <w:p>
      <w:pPr>
        <w:pStyle w:val="Normal"/>
      </w:pPr>
      <w:r>
        <w:rPr>
          <w:b/>
          <w:bCs/>
        </w:rPr>
        <w:t xml:space="preserve">5. Взаимосвязь реляционных данных, корреляция данных.</w:t>
      </w:r>
    </w:p>
    <w:p>
      <w:pPr>
        <w:pStyle w:val="Normal"/>
      </w:pPr>
      <w:r>
        <w:t xml:space="preserve">Взаимосвязь реляционных данных характеризует зависимость между различными атрибутами и таблицами в базе данных. Корреляция данных – это статистическая мера линейной зависимости между двумя переменными, принимающая значения от -1 до +1. Положительная корреляция означает, что при увеличении одной переменной увеличивается другая, отрицательная – что при увеличении одной уменьшается другая. Нулевая корреляция указывает на отсутствие линейной зависимости.</w:t>
      </w:r>
    </w:p>
    <w:p>
      <w:pPr>
        <w:pStyle w:val="Normal"/>
      </w:pPr>
      <w:r>
        <w:rPr>
          <w:b/>
          <w:bCs/>
        </w:rPr>
        <w:t xml:space="preserve">6. Что такое модели данных?</w:t>
      </w:r>
    </w:p>
    <w:p>
      <w:pPr>
        <w:pStyle w:val="Normal"/>
      </w:pPr>
      <w:r>
        <w:t xml:space="preserve">Модели данных – это формализованные способы описания и организации данных, их связей, ограничений целостности и операций над данными. Существуют различные типы моделей данных: реляционная (таблицы с связями), иерархическая (древовидная структура), сетевая (граф), объектно-ориентированная. Модель данных определяет структуру базы данных и правила работы с информацией.</w:t>
      </w:r>
    </w:p>
    <w:p>
      <w:pPr>
        <w:pStyle w:val="Normal"/>
      </w:pPr>
      <w:r>
        <w:rPr>
          <w:b/>
          <w:bCs/>
        </w:rPr>
        <w:t xml:space="preserve">7. Что такое мера информации?</w:t>
      </w:r>
    </w:p>
    <w:p>
      <w:pPr>
        <w:pStyle w:val="Normal"/>
      </w:pPr>
      <w:r>
        <w:t xml:space="preserve">Мера информации – это количественная характеристика информации. Существуют различные меры информации: синтаксическая (объем данных в битах или байтах), семантическая (смысловое содержание), прагматическая (полезность для достижения цели). Основной мерой количества информации является бит – минимальная единица информации, соответствующая выбору из двух равновероятных альтернатив.</w:t>
      </w:r>
    </w:p>
    <w:p>
      <w:pPr>
        <w:pStyle w:val="Normal"/>
      </w:pPr>
      <w:r>
        <w:rPr>
          <w:b/>
          <w:bCs/>
        </w:rPr>
        <w:t xml:space="preserve">8. Как выполнить анализ параметров проектируемой информационной системы?</w:t>
      </w:r>
    </w:p>
    <w:p>
      <w:pPr>
        <w:pStyle w:val="Normal"/>
      </w:pPr>
      <w:r>
        <w:t xml:space="preserve">Анализ параметров проектируемой информационной системы выполняется в следующей последовательности:</w:t>
      </w:r>
    </w:p>
    <w:p>
      <w:pPr>
        <w:pStyle w:val="Compact"/>
        <w:numPr>
          <w:ilvl w:val="0"/>
          <w:numId w:val="1005"/>
        </w:numPr>
      </w:pPr>
      <w:r>
        <w:t xml:space="preserve">Определение элементарной семантической единицы (ЭСЕ) – ключевого параметра системы</w:t>
      </w:r>
    </w:p>
    <w:p>
      <w:pPr>
        <w:pStyle w:val="Compact"/>
        <w:numPr>
          <w:ilvl w:val="0"/>
          <w:numId w:val="1005"/>
        </w:numPr>
      </w:pPr>
      <w:r>
        <w:t xml:space="preserve">Сбор статистических данных о значениях ЭСЕ</w:t>
      </w:r>
    </w:p>
    <w:p>
      <w:pPr>
        <w:pStyle w:val="Compact"/>
        <w:numPr>
          <w:ilvl w:val="0"/>
          <w:numId w:val="1005"/>
        </w:numPr>
      </w:pPr>
      <w:r>
        <w:t xml:space="preserve">Построение ряда распределения вероятностей</w:t>
      </w:r>
    </w:p>
    <w:p>
      <w:pPr>
        <w:pStyle w:val="Compact"/>
        <w:numPr>
          <w:ilvl w:val="0"/>
          <w:numId w:val="1005"/>
        </w:numPr>
      </w:pPr>
      <w:r>
        <w:t xml:space="preserve">Расчет математического ожидания (среднее значение параметра)</w:t>
      </w:r>
    </w:p>
    <w:p>
      <w:pPr>
        <w:pStyle w:val="Compact"/>
        <w:numPr>
          <w:ilvl w:val="0"/>
          <w:numId w:val="1005"/>
        </w:numPr>
      </w:pPr>
      <w:r>
        <w:t xml:space="preserve">Расчет дисперсии и среднеквадратического отклонения (разброс значений)</w:t>
      </w:r>
    </w:p>
    <w:p>
      <w:pPr>
        <w:pStyle w:val="Compact"/>
        <w:numPr>
          <w:ilvl w:val="0"/>
          <w:numId w:val="1005"/>
        </w:numPr>
      </w:pPr>
      <w:r>
        <w:t xml:space="preserve">Расчет энтропии системы по формуле Шеннона (степень неопределенности)</w:t>
      </w:r>
    </w:p>
    <w:p>
      <w:pPr>
        <w:pStyle w:val="Compact"/>
        <w:numPr>
          <w:ilvl w:val="0"/>
          <w:numId w:val="1005"/>
        </w:numPr>
      </w:pPr>
      <w:r>
        <w:t xml:space="preserve">Интерпретация полученных результатов для принятия проектных решений</w:t>
      </w:r>
    </w:p>
    <w:bookmarkEnd w:id="16"/>
    <w:sectPr w:rsidR="003066A2" w:rsidSect="00326D25">
      <w:footerReference r:id="rId7" w:type="default"/>
      <w:pgSz w:h="16838" w:w="11906"/>
      <w:pgMar w:bottom="1134" w:footer="709" w:gutter="0" w:header="709" w:left="1701" w:right="567" w:top="1134"/>
      <w:cols w:space="708"/>
      <w:titlePg/>
      <w:docGrid w:linePitch="38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6710115"/>
      <w:docPartObj>
        <w:docPartGallery w:val="Page Numbers (Bottom of Page)"/>
        <w:docPartUnique/>
      </w:docPartObj>
    </w:sdtPr>
    <w:sdtContent>
      <w:p w14:paraId="21D04410" w14:textId="77777777" w:rsidR="001C6AB8" w:rsidRDefault="001C6AB8" w:rsidP="005D2A56">
        <w:pPr>
          <w:pStyle w:val="Footer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4230757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9DF8D38C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55DC6D02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15:restartNumberingAfterBreak="0" w:abstractNumId="3">
    <w:nsid w:val="1A223FE2"/>
    <w:multiLevelType w:val="multilevel"/>
    <w:tmpl w:val="1EC4B888"/>
    <w:lvl w:ilvl="0">
      <w:start w:val="1"/>
      <w:numFmt w:val="decimal"/>
      <w:suff w:val="space"/>
      <w:lvlText w:val="%1"/>
      <w:lvlJc w:val="left"/>
      <w:pPr>
        <w:ind w:firstLine="0" w:left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firstLine="0" w:left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firstLine="0" w:left="0"/>
      </w:pPr>
      <w:rPr>
        <w:rFonts w:hint="default"/>
      </w:rPr>
    </w:lvl>
    <w:lvl w:ilvl="3">
      <w:start w:val="1"/>
      <w:numFmt w:val="decimal"/>
      <w:lvlRestart w:val="1"/>
      <w:suff w:val="space"/>
      <w:lvlText w:val="Рисунок %1.%4 —"/>
      <w:lvlJc w:val="left"/>
      <w:pPr>
        <w:ind w:firstLine="0" w:left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1.%5 —"/>
      <w:lvlJc w:val="left"/>
      <w:pPr>
        <w:ind w:firstLine="0" w:left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firstLine="0" w:left="0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firstLine="0" w:left="0"/>
      </w:pPr>
      <w:rPr>
        <w:rFonts w:hint="default"/>
      </w:rPr>
    </w:lvl>
  </w:abstractNum>
  <w:abstractNum w15:restartNumberingAfterBreak="0" w:abstractNumId="4">
    <w:nsid w:val="213D4B2D"/>
    <w:multiLevelType w:val="hybridMultilevel"/>
    <w:tmpl w:val="7AC8B36C"/>
    <w:lvl w:ilvl="0" w:tplc="04190001">
      <w:start w:val="1"/>
      <w:numFmt w:val="bullet"/>
      <w:lvlText w:val=""/>
      <w:lvlJc w:val="left"/>
      <w:pPr>
        <w:ind w:hanging="360" w:left="214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86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358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430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502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74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646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718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909"/>
      </w:pPr>
      <w:rPr>
        <w:rFonts w:ascii="Wingdings" w:hAnsi="Wingdings" w:hint="default"/>
      </w:rPr>
    </w:lvl>
  </w:abstractNum>
  <w:abstractNum w15:restartNumberingAfterBreak="0" w:abstractNumId="5">
    <w:nsid w:val="24E35BFE"/>
    <w:multiLevelType w:val="multilevel"/>
    <w:tmpl w:val="4934B7DA"/>
    <w:lvl w:ilvl="0">
      <w:start w:val="1"/>
      <w:numFmt w:val="decimal"/>
      <w:pStyle w:val="Heading1"/>
      <w:suff w:val="space"/>
      <w:lvlText w:val="%1"/>
      <w:lvlJc w:val="left"/>
      <w:pPr>
        <w:ind w:firstLine="0" w:left="709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firstLine="0" w:left="709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709"/>
      </w:pPr>
      <w:rPr>
        <w:rFonts w:hint="default"/>
      </w:rPr>
    </w:lvl>
    <w:lvl w:ilvl="3">
      <w:start w:val="1"/>
      <w:numFmt w:val="decimal"/>
      <w:lvlRestart w:val="1"/>
      <w:pStyle w:val="Picturename"/>
      <w:suff w:val="space"/>
      <w:lvlText w:val="Рисунок %1.%4 —"/>
      <w:lvlJc w:val="left"/>
      <w:pPr>
        <w:ind w:firstLine="0" w:left="0"/>
      </w:pPr>
      <w:rPr>
        <w:rFonts w:hint="default"/>
      </w:rPr>
    </w:lvl>
    <w:lvl w:ilvl="4">
      <w:start w:val="1"/>
      <w:numFmt w:val="decimal"/>
      <w:lvlRestart w:val="1"/>
      <w:pStyle w:val="Tablename"/>
      <w:suff w:val="space"/>
      <w:lvlText w:val="Таблица %1.%5 —"/>
      <w:lvlJc w:val="left"/>
      <w:pPr>
        <w:ind w:firstLine="0" w:left="0"/>
      </w:pPr>
      <w:rPr>
        <w:rFonts w:hint="default"/>
      </w:rPr>
    </w:lvl>
    <w:lvl w:ilvl="5">
      <w:start w:val="1"/>
      <w:numFmt w:val="decimal"/>
      <w:lvlRestart w:val="1"/>
      <w:pStyle w:val="Listing"/>
      <w:suff w:val="space"/>
      <w:lvlText w:val="Листинг %1.%6 —"/>
      <w:lvlJc w:val="left"/>
      <w:pPr>
        <w:ind w:firstLine="0" w:left="0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firstLine="0" w:left="0"/>
      </w:pPr>
      <w:rPr>
        <w:rFonts w:hint="default"/>
      </w:rPr>
    </w:lvl>
  </w:abstractNum>
  <w:abstractNum w15:restartNumberingAfterBreak="0" w:abstractNumId="6">
    <w:nsid w:val="284F25F8"/>
    <w:multiLevelType w:val="hybridMultilevel"/>
    <w:tmpl w:val="CABADEF4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33226F58"/>
    <w:multiLevelType w:val="hybridMultilevel"/>
    <w:tmpl w:val="A0D8058E"/>
    <w:lvl w:ilvl="0" w:tplc="CEC87AAE">
      <w:start w:val="1"/>
      <w:numFmt w:val="decimal"/>
      <w:lvlText w:val="%1."/>
      <w:lvlJc w:val="left"/>
      <w:pPr>
        <w:ind w:hanging="360" w:left="1429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1440"/>
      </w:pPr>
    </w:lvl>
    <w:lvl w:ilvl="2" w:tentative="1" w:tplc="0419001B">
      <w:start w:val="1"/>
      <w:numFmt w:val="lowerRoman"/>
      <w:lvlText w:val="%3."/>
      <w:lvlJc w:val="right"/>
      <w:pPr>
        <w:ind w:hanging="180" w:left="2160"/>
      </w:pPr>
    </w:lvl>
    <w:lvl w:ilvl="3" w:tentative="1" w:tplc="0419000F">
      <w:start w:val="1"/>
      <w:numFmt w:val="decimal"/>
      <w:lvlText w:val="%4."/>
      <w:lvlJc w:val="left"/>
      <w:pPr>
        <w:ind w:hanging="360" w:left="2880"/>
      </w:pPr>
    </w:lvl>
    <w:lvl w:ilvl="4" w:tentative="1" w:tplc="04190019">
      <w:start w:val="1"/>
      <w:numFmt w:val="lowerLetter"/>
      <w:lvlText w:val="%5."/>
      <w:lvlJc w:val="left"/>
      <w:pPr>
        <w:ind w:hanging="360" w:left="3600"/>
      </w:pPr>
    </w:lvl>
    <w:lvl w:ilvl="5" w:tentative="1" w:tplc="0419001B">
      <w:start w:val="1"/>
      <w:numFmt w:val="lowerRoman"/>
      <w:lvlText w:val="%6."/>
      <w:lvlJc w:val="right"/>
      <w:pPr>
        <w:ind w:hanging="180" w:left="4320"/>
      </w:pPr>
    </w:lvl>
    <w:lvl w:ilvl="6" w:tentative="1" w:tplc="0419000F">
      <w:start w:val="1"/>
      <w:numFmt w:val="decimal"/>
      <w:lvlText w:val="%7."/>
      <w:lvlJc w:val="left"/>
      <w:pPr>
        <w:ind w:hanging="360" w:left="5040"/>
      </w:pPr>
    </w:lvl>
    <w:lvl w:ilvl="7" w:tentative="1" w:tplc="04190019">
      <w:start w:val="1"/>
      <w:numFmt w:val="lowerLetter"/>
      <w:lvlText w:val="%8."/>
      <w:lvlJc w:val="left"/>
      <w:pPr>
        <w:ind w:hanging="360" w:left="5760"/>
      </w:pPr>
    </w:lvl>
    <w:lvl w:ilvl="8" w:tentative="1" w:tplc="041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">
    <w:nsid w:val="43F71AF7"/>
    <w:multiLevelType w:val="hybridMultilevel"/>
    <w:tmpl w:val="AA201B8A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plc="E36AD9C2">
      <w:numFmt w:val="bullet"/>
      <w:lvlText w:val="-"/>
      <w:lvlJc w:val="left"/>
      <w:pPr>
        <w:ind w:hanging="360" w:left="2149"/>
      </w:pPr>
      <w:rPr>
        <w:rFonts w:ascii="Times New Roman" w:cs="Times New Roman" w:eastAsiaTheme="minorHAnsi" w:hAnsi="Times New Roman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9">
    <w:nsid w:val="45631F60"/>
    <w:multiLevelType w:val="hybridMultilevel"/>
    <w:tmpl w:val="F7EA4EFA"/>
    <w:lvl w:ilvl="0" w:tplc="BA9EB9B4">
      <w:start w:val="1"/>
      <w:numFmt w:val="bullet"/>
      <w:lvlText w:val=""/>
      <w:lvlJc w:val="left"/>
      <w:pPr>
        <w:tabs>
          <w:tab w:pos="1276" w:val="num"/>
        </w:tabs>
        <w:ind w:hanging="567" w:left="1276"/>
      </w:pPr>
      <w:rPr>
        <w:rFonts w:ascii="Symbol" w:hAnsi="Symbol" w:hint="default"/>
      </w:rPr>
    </w:lvl>
    <w:lvl w:ilvl="1" w:tentative="1" w:tplc="FFFFFFFF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0">
    <w:nsid w:val="51FC014B"/>
    <w:multiLevelType w:val="hybridMultilevel"/>
    <w:tmpl w:val="9F98F154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1">
    <w:nsid w:val="55BE2E91"/>
    <w:multiLevelType w:val="multilevel"/>
    <w:tmpl w:val="041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2">
    <w:nsid w:val="5D0A1554"/>
    <w:multiLevelType w:val="hybridMultilevel"/>
    <w:tmpl w:val="D4B4AFA0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3">
    <w:nsid w:val="640B58EA"/>
    <w:multiLevelType w:val="hybridMultilevel"/>
    <w:tmpl w:val="F4BA4766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2149"/>
      </w:pPr>
    </w:lvl>
    <w:lvl w:ilvl="2" w:tentative="1" w:tplc="FFFFFFFF">
      <w:start w:val="1"/>
      <w:numFmt w:val="lowerRoman"/>
      <w:lvlText w:val="%3."/>
      <w:lvlJc w:val="right"/>
      <w:pPr>
        <w:ind w:hanging="180" w:left="2869"/>
      </w:pPr>
    </w:lvl>
    <w:lvl w:ilvl="3" w:tentative="1" w:tplc="FFFFFFFF">
      <w:start w:val="1"/>
      <w:numFmt w:val="decimal"/>
      <w:lvlText w:val="%4."/>
      <w:lvlJc w:val="left"/>
      <w:pPr>
        <w:ind w:hanging="360" w:left="3589"/>
      </w:pPr>
    </w:lvl>
    <w:lvl w:ilvl="4" w:tentative="1" w:tplc="FFFFFFFF">
      <w:start w:val="1"/>
      <w:numFmt w:val="lowerLetter"/>
      <w:lvlText w:val="%5."/>
      <w:lvlJc w:val="left"/>
      <w:pPr>
        <w:ind w:hanging="360" w:left="4309"/>
      </w:pPr>
    </w:lvl>
    <w:lvl w:ilvl="5" w:tentative="1" w:tplc="FFFFFFFF">
      <w:start w:val="1"/>
      <w:numFmt w:val="lowerRoman"/>
      <w:lvlText w:val="%6."/>
      <w:lvlJc w:val="right"/>
      <w:pPr>
        <w:ind w:hanging="180" w:left="5029"/>
      </w:pPr>
    </w:lvl>
    <w:lvl w:ilvl="6" w:tentative="1" w:tplc="FFFFFFFF">
      <w:start w:val="1"/>
      <w:numFmt w:val="decimal"/>
      <w:lvlText w:val="%7."/>
      <w:lvlJc w:val="left"/>
      <w:pPr>
        <w:ind w:hanging="360" w:left="5749"/>
      </w:pPr>
    </w:lvl>
    <w:lvl w:ilvl="7" w:tentative="1" w:tplc="FFFFFFFF">
      <w:start w:val="1"/>
      <w:numFmt w:val="lowerLetter"/>
      <w:lvlText w:val="%8."/>
      <w:lvlJc w:val="left"/>
      <w:pPr>
        <w:ind w:hanging="360" w:left="6469"/>
      </w:pPr>
    </w:lvl>
    <w:lvl w:ilvl="8" w:tentative="1" w:tplc="FFFFFFFF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4">
    <w:nsid w:val="65B51CDE"/>
    <w:multiLevelType w:val="hybridMultilevel"/>
    <w:tmpl w:val="2C763842"/>
    <w:lvl w:ilvl="0" w:tplc="0419000F">
      <w:start w:val="1"/>
      <w:numFmt w:val="decimal"/>
      <w:lvlText w:val="%1."/>
      <w:lvlJc w:val="left"/>
      <w:pPr>
        <w:ind w:hanging="360" w:left="1429"/>
      </w:p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5">
    <w:nsid w:val="66534D0B"/>
    <w:multiLevelType w:val="hybridMultilevel"/>
    <w:tmpl w:val="B054F23C"/>
    <w:lvl w:ilvl="0" w:tplc="CEC87AAE">
      <w:start w:val="1"/>
      <w:numFmt w:val="decimal"/>
      <w:lvlText w:val="%1."/>
      <w:lvlJc w:val="left"/>
      <w:pPr>
        <w:ind w:hanging="360" w:left="2138"/>
      </w:pPr>
      <w:rPr>
        <w:rFonts w:hint="default"/>
      </w:rPr>
    </w:lvl>
    <w:lvl w:ilvl="1" w:tentative="1" w:tplc="04190019">
      <w:start w:val="1"/>
      <w:numFmt w:val="lowerLetter"/>
      <w:lvlText w:val="%2."/>
      <w:lvlJc w:val="left"/>
      <w:pPr>
        <w:ind w:hanging="360" w:left="2149"/>
      </w:pPr>
    </w:lvl>
    <w:lvl w:ilvl="2" w:tentative="1" w:tplc="0419001B">
      <w:start w:val="1"/>
      <w:numFmt w:val="lowerRoman"/>
      <w:lvlText w:val="%3."/>
      <w:lvlJc w:val="right"/>
      <w:pPr>
        <w:ind w:hanging="180" w:left="2869"/>
      </w:pPr>
    </w:lvl>
    <w:lvl w:ilvl="3" w:tentative="1" w:tplc="0419000F">
      <w:start w:val="1"/>
      <w:numFmt w:val="decimal"/>
      <w:lvlText w:val="%4."/>
      <w:lvlJc w:val="left"/>
      <w:pPr>
        <w:ind w:hanging="360" w:left="3589"/>
      </w:pPr>
    </w:lvl>
    <w:lvl w:ilvl="4" w:tentative="1" w:tplc="04190019">
      <w:start w:val="1"/>
      <w:numFmt w:val="lowerLetter"/>
      <w:lvlText w:val="%5."/>
      <w:lvlJc w:val="left"/>
      <w:pPr>
        <w:ind w:hanging="360" w:left="4309"/>
      </w:pPr>
    </w:lvl>
    <w:lvl w:ilvl="5" w:tentative="1" w:tplc="0419001B">
      <w:start w:val="1"/>
      <w:numFmt w:val="lowerRoman"/>
      <w:lvlText w:val="%6."/>
      <w:lvlJc w:val="right"/>
      <w:pPr>
        <w:ind w:hanging="180" w:left="5029"/>
      </w:pPr>
    </w:lvl>
    <w:lvl w:ilvl="6" w:tentative="1" w:tplc="0419000F">
      <w:start w:val="1"/>
      <w:numFmt w:val="decimal"/>
      <w:lvlText w:val="%7."/>
      <w:lvlJc w:val="left"/>
      <w:pPr>
        <w:ind w:hanging="360" w:left="5749"/>
      </w:pPr>
    </w:lvl>
    <w:lvl w:ilvl="7" w:tentative="1" w:tplc="04190019">
      <w:start w:val="1"/>
      <w:numFmt w:val="lowerLetter"/>
      <w:lvlText w:val="%8."/>
      <w:lvlJc w:val="left"/>
      <w:pPr>
        <w:ind w:hanging="360" w:left="6469"/>
      </w:pPr>
    </w:lvl>
    <w:lvl w:ilvl="8" w:tentative="1" w:tplc="0419001B">
      <w:start w:val="1"/>
      <w:numFmt w:val="lowerRoman"/>
      <w:lvlText w:val="%9."/>
      <w:lvlJc w:val="right"/>
      <w:pPr>
        <w:ind w:hanging="180" w:left="7189"/>
      </w:pPr>
    </w:lvl>
  </w:abstractNum>
  <w:abstractNum w15:restartNumberingAfterBreak="0" w:abstractNumId="16">
    <w:nsid w:val="66FC170A"/>
    <w:multiLevelType w:val="multilevel"/>
    <w:tmpl w:val="0419001D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abstractNum w15:restartNumberingAfterBreak="0" w:abstractNumId="17">
    <w:nsid w:val="7909113D"/>
    <w:multiLevelType w:val="hybridMultilevel"/>
    <w:tmpl w:val="111819E6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15:restartNumberingAfterBreak="0" w:abstractNumId="18">
    <w:nsid w:val="7E810115"/>
    <w:multiLevelType w:val="hybridMultilevel"/>
    <w:tmpl w:val="4F08497A"/>
    <w:lvl w:ilvl="0" w:tplc="04190001">
      <w:start w:val="1"/>
      <w:numFmt w:val="bullet"/>
      <w:lvlText w:val=""/>
      <w:lvlJc w:val="left"/>
      <w:pPr>
        <w:ind w:hanging="360" w:left="1429"/>
      </w:pPr>
      <w:rPr>
        <w:rFonts w:ascii="Symbol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2149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869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3589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4309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5029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749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6469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7189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818762989" w:numId="1">
    <w:abstractNumId w:val="7"/>
  </w:num>
  <w:num w16cid:durableId="1345088322" w:numId="2">
    <w:abstractNumId w:val="4"/>
  </w:num>
  <w:num w16cid:durableId="1581132145" w:numId="3">
    <w:abstractNumId w:val="18"/>
  </w:num>
  <w:num w16cid:durableId="1426881847" w:numId="4">
    <w:abstractNumId w:val="9"/>
  </w:num>
  <w:num w16cid:durableId="1529294893" w:numId="5">
    <w:abstractNumId w:val="15"/>
  </w:num>
  <w:num w16cid:durableId="1007949964" w:numId="6">
    <w:abstractNumId w:val="16"/>
  </w:num>
  <w:num w16cid:durableId="287131687"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80069663" w:numId="8">
    <w:abstractNumId w:val="5"/>
  </w:num>
  <w:num w16cid:durableId="23291384" w:numId="9">
    <w:abstractNumId w:val="3"/>
  </w:num>
  <w:num w16cid:durableId="432674944" w:numId="10">
    <w:abstractNumId w:val="11"/>
  </w:num>
  <w:num w16cid:durableId="1136752633" w:numId="11">
    <w:abstractNumId w:val="5"/>
  </w:num>
  <w:num w16cid:durableId="1048647118" w:numId="12">
    <w:abstractNumId w:val="5"/>
  </w:num>
  <w:num w16cid:durableId="1684434326" w:numId="13">
    <w:abstractNumId w:val="14"/>
  </w:num>
  <w:num w16cid:durableId="1262028696" w:numId="14">
    <w:abstractNumId w:val="13"/>
  </w:num>
  <w:num w16cid:durableId="334384034" w:numId="15">
    <w:abstractNumId w:val="10"/>
  </w:num>
  <w:num w16cid:durableId="298146093" w:numId="16">
    <w:abstractNumId w:val="12"/>
  </w:num>
  <w:num w16cid:durableId="963657915" w:numId="17">
    <w:abstractNumId w:val="17"/>
  </w:num>
  <w:num w16cid:durableId="1972518006" w:numId="18">
    <w:abstractNumId w:val="8"/>
  </w:num>
  <w:num w16cid:durableId="1046223520" w:numId="19">
    <w:abstractNumId w:val="6"/>
  </w:num>
  <w:num w16cid:durableId="1033730921" w:numId="20">
    <w:abstractNumId w:val="0"/>
  </w:num>
  <w:num w16cid:durableId="513765581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2919058" w:numId="22">
    <w:abstractNumId w:val="1"/>
  </w:num>
  <w:num w16cid:durableId="1898542278" w:numId="23">
    <w:abstractNumId w:val="1"/>
  </w:num>
  <w:num w16cid:durableId="645816810" w:numId="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18821978" w:numId="25">
    <w:abstractNumId w:val="1"/>
  </w:num>
  <w:num w16cid:durableId="1739353886" w:numId="26">
    <w:abstractNumId w:val="1"/>
  </w:num>
  <w:num w16cid:durableId="441456053" w:numId="27">
    <w:abstractNumId w:val="1"/>
  </w:num>
  <w:num w16cid:durableId="27873969" w:numId="2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25011297" w:numId="29">
    <w:abstractNumId w:val="1"/>
  </w:num>
  <w:num w16cid:durableId="1347706573" w:numId="30">
    <w:abstractNumId w:val="1"/>
  </w:num>
  <w:num w16cid:durableId="1480729283" w:numId="31">
    <w:abstractNumId w:val="1"/>
  </w:num>
  <w:num w16cid:durableId="1055398814" w:numId="3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90168086" w:numId="33">
    <w:abstractNumId w:val="1"/>
  </w:num>
  <w:num w16cid:durableId="836385918" w:numId="34">
    <w:abstractNumId w:val="1"/>
  </w:num>
  <w:num w16cid:durableId="1256206355" w:numId="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85254079" w:numId="36">
    <w:abstractNumId w:val="1"/>
  </w:num>
  <w:num w16cid:durableId="884100380" w:numId="37">
    <w:abstractNumId w:val="1"/>
  </w:num>
  <w:num w16cid:durableId="286087716" w:numId="38">
    <w:abstractNumId w:val="1"/>
  </w:num>
  <w:num w16cid:durableId="1113397533" w:numId="39">
    <w:abstractNumId w:val="1"/>
  </w:num>
  <w:num w16cid:durableId="1177114359" w:numId="40">
    <w:abstractNumId w:val="0"/>
  </w:num>
  <w:num w16cid:durableId="1950161660" w:numId="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899586962" w:numId="42">
    <w:abstractNumId w:val="1"/>
  </w:num>
  <w:num w16cid:durableId="1686978881" w:numId="43">
    <w:abstractNumId w:val="1"/>
  </w:num>
  <w:num w16cid:durableId="1606690879" w:numId="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84042489" w:numId="45">
    <w:abstractNumId w:val="1"/>
  </w:num>
  <w:num w16cid:durableId="1842038432" w:numId="46">
    <w:abstractNumId w:val="1"/>
  </w:num>
  <w:num w16cid:durableId="1454865716" w:numId="47">
    <w:abstractNumId w:val="1"/>
  </w:num>
  <w:num w16cid:durableId="1004823546" w:numId="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922648406" w:numId="49">
    <w:abstractNumId w:val="1"/>
  </w:num>
  <w:num w16cid:durableId="1250501655" w:numId="50">
    <w:abstractNumId w:val="1"/>
  </w:num>
  <w:num w16cid:durableId="1954169715" w:numId="51">
    <w:abstractNumId w:val="1"/>
  </w:num>
  <w:num w16cid:durableId="179585081" w:numId="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455376182" w:numId="53">
    <w:abstractNumId w:val="1"/>
  </w:num>
  <w:num w16cid:durableId="638917216" w:numId="54">
    <w:abstractNumId w:val="1"/>
  </w:num>
  <w:num w16cid:durableId="1723794202" w:numId="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95686022" w:numId="56">
    <w:abstractNumId w:val="1"/>
  </w:num>
  <w:num w16cid:durableId="1939634124" w:numId="57">
    <w:abstractNumId w:val="1"/>
  </w:num>
  <w:num w16cid:durableId="1032078336" w:numId="58">
    <w:abstractNumId w:val="1"/>
  </w:num>
  <w:num w16cid:durableId="1522040580" w:numId="59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8"/>
  <w:embedSystemFonts/>
  <w:proofState w:grammar="clean" w:spelling="clean"/>
  <w:attachedTemplate r:id="rId1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C8C"/>
    <w:rsid w:val="00056477"/>
    <w:rsid w:val="00057D1B"/>
    <w:rsid w:val="000B6931"/>
    <w:rsid w:val="0014040D"/>
    <w:rsid w:val="001814A6"/>
    <w:rsid w:val="001827CC"/>
    <w:rsid w:val="00184355"/>
    <w:rsid w:val="001848CF"/>
    <w:rsid w:val="001A5907"/>
    <w:rsid w:val="001C6AB8"/>
    <w:rsid w:val="001F75E7"/>
    <w:rsid w:val="001F7695"/>
    <w:rsid w:val="00245A1E"/>
    <w:rsid w:val="002E562E"/>
    <w:rsid w:val="003066A2"/>
    <w:rsid w:val="00326D25"/>
    <w:rsid w:val="00396C9A"/>
    <w:rsid w:val="003D7B70"/>
    <w:rsid w:val="00405F48"/>
    <w:rsid w:val="004338BD"/>
    <w:rsid w:val="004636B0"/>
    <w:rsid w:val="004C01DC"/>
    <w:rsid w:val="004C769D"/>
    <w:rsid w:val="004D0F31"/>
    <w:rsid w:val="004F4796"/>
    <w:rsid w:val="00527F0F"/>
    <w:rsid w:val="00567EBA"/>
    <w:rsid w:val="00595D0D"/>
    <w:rsid w:val="005A58DE"/>
    <w:rsid w:val="005D2A56"/>
    <w:rsid w:val="005F12CA"/>
    <w:rsid w:val="00621D02"/>
    <w:rsid w:val="006511BD"/>
    <w:rsid w:val="006C66EC"/>
    <w:rsid w:val="006D746C"/>
    <w:rsid w:val="006F0EB0"/>
    <w:rsid w:val="0075705A"/>
    <w:rsid w:val="007B058C"/>
    <w:rsid w:val="008204B1"/>
    <w:rsid w:val="00842319"/>
    <w:rsid w:val="00892636"/>
    <w:rsid w:val="008E5A80"/>
    <w:rsid w:val="008F0F76"/>
    <w:rsid w:val="00A379F5"/>
    <w:rsid w:val="00A511B9"/>
    <w:rsid w:val="00A71F5B"/>
    <w:rsid w:val="00A80784"/>
    <w:rsid w:val="00AA072A"/>
    <w:rsid w:val="00B20377"/>
    <w:rsid w:val="00B24A35"/>
    <w:rsid w:val="00B25006"/>
    <w:rsid w:val="00BD5D74"/>
    <w:rsid w:val="00BE4672"/>
    <w:rsid w:val="00BF00B1"/>
    <w:rsid w:val="00BF7127"/>
    <w:rsid w:val="00C807CB"/>
    <w:rsid w:val="00C83F6B"/>
    <w:rsid w:val="00C8733A"/>
    <w:rsid w:val="00CD5E11"/>
    <w:rsid w:val="00CE7CAA"/>
    <w:rsid w:val="00D346E6"/>
    <w:rsid w:val="00DA7439"/>
    <w:rsid w:val="00DB041F"/>
    <w:rsid w:val="00E61C8C"/>
    <w:rsid w:val="00ED596A"/>
    <w:rsid w:val="00F55475"/>
    <w:rsid w:val="00F8337F"/>
    <w:rsid w:val="00FF0905"/>
    <w:rsid w:val="00FF1817"/>
  </w:rsids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ru-RU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BE4672"/>
    <w:pPr>
      <w:spacing w:after="0" w:line="360" w:lineRule="auto"/>
      <w:ind w:firstLine="709"/>
      <w:jc w:val="both"/>
    </w:pPr>
    <w:rPr>
      <w:rFonts w:ascii="Times New Roman" w:cs="Times New Roman" w:hAnsi="Times New Roman"/>
      <w:sz w:val="28"/>
      <w:szCs w:val="28"/>
    </w:rPr>
  </w:style>
  <w:style w:styleId="Heading1" w:type="paragraph">
    <w:name w:val="heading 1"/>
    <w:next w:val="Normal"/>
    <w:link w:val="Heading1Char"/>
    <w:uiPriority w:val="9"/>
    <w:qFormat/>
    <w:rsid w:val="00184355"/>
    <w:pPr>
      <w:keepNext/>
      <w:pageBreakBefore/>
      <w:widowControl w:val="0"/>
      <w:numPr>
        <w:numId w:val="12"/>
      </w:numPr>
      <w:spacing w:after="567" w:line="360" w:lineRule="auto"/>
      <w:outlineLvl w:val="0"/>
    </w:pPr>
    <w:rPr>
      <w:rFonts w:ascii="Times New Roman" w:cstheme="majorBidi" w:eastAsiaTheme="majorEastAsia" w:hAnsi="Times New Roman"/>
      <w:b/>
      <w:caps/>
      <w:color w:themeColor="text1" w:val="000000"/>
      <w:sz w:val="36"/>
      <w:szCs w:val="32"/>
    </w:rPr>
  </w:style>
  <w:style w:styleId="Heading2" w:type="paragraph">
    <w:name w:val="heading 2"/>
    <w:next w:val="Normal"/>
    <w:link w:val="Heading2Char"/>
    <w:uiPriority w:val="9"/>
    <w:unhideWhenUsed/>
    <w:qFormat/>
    <w:rsid w:val="00184355"/>
    <w:pPr>
      <w:keepNext/>
      <w:keepLines/>
      <w:numPr>
        <w:ilvl w:val="1"/>
        <w:numId w:val="12"/>
      </w:numPr>
      <w:spacing w:after="567" w:before="851" w:line="360" w:lineRule="auto"/>
      <w:outlineLvl w:val="1"/>
    </w:pPr>
    <w:rPr>
      <w:rFonts w:ascii="Times New Roman" w:cstheme="majorBidi" w:eastAsiaTheme="majorEastAsia" w:hAnsi="Times New Roman"/>
      <w:b/>
      <w:color w:themeColor="text1" w:val="000000"/>
      <w:sz w:val="32"/>
      <w:szCs w:val="26"/>
    </w:rPr>
  </w:style>
  <w:style w:styleId="Heading3" w:type="paragraph">
    <w:name w:val="heading 3"/>
    <w:next w:val="Normal"/>
    <w:link w:val="Heading3Char"/>
    <w:uiPriority w:val="9"/>
    <w:unhideWhenUsed/>
    <w:qFormat/>
    <w:rsid w:val="00184355"/>
    <w:pPr>
      <w:keepNext/>
      <w:keepLines/>
      <w:numPr>
        <w:ilvl w:val="2"/>
        <w:numId w:val="12"/>
      </w:numPr>
      <w:spacing w:after="567" w:before="851" w:line="360" w:lineRule="auto"/>
      <w:outlineLvl w:val="2"/>
    </w:pPr>
    <w:rPr>
      <w:rFonts w:ascii="Times New Roman" w:cstheme="majorBidi" w:eastAsiaTheme="majorEastAsia" w:hAnsi="Times New Roman"/>
      <w:b/>
      <w:color w:themeColor="text1" w:val="000000"/>
      <w:sz w:val="28"/>
      <w:szCs w:val="2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814A6"/>
    <w:rPr>
      <w:rFonts w:ascii="Times New Roman" w:cstheme="majorBidi" w:eastAsiaTheme="majorEastAsia" w:hAnsi="Times New Roman"/>
      <w:b/>
      <w:caps/>
      <w:color w:themeColor="text1" w:val="000000"/>
      <w:sz w:val="36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B25006"/>
    <w:rPr>
      <w:rFonts w:ascii="Times New Roman" w:cstheme="majorBidi" w:eastAsiaTheme="majorEastAsia" w:hAnsi="Times New Roman"/>
      <w:b/>
      <w:color w:themeColor="text1" w:val="000000"/>
      <w:sz w:val="32"/>
      <w:szCs w:val="26"/>
    </w:rPr>
  </w:style>
  <w:style w:styleId="Title" w:type="paragraph">
    <w:name w:val="Title"/>
    <w:aliases w:val="Заголовок3"/>
    <w:basedOn w:val="Heading2"/>
    <w:next w:val="Normal"/>
    <w:link w:val="TitleChar"/>
    <w:uiPriority w:val="10"/>
    <w:qFormat/>
    <w:rsid w:val="00BF7127"/>
    <w:pPr>
      <w:contextualSpacing/>
    </w:pPr>
    <w:rPr>
      <w:spacing w:val="-10"/>
      <w:kern w:val="28"/>
      <w:sz w:val="28"/>
      <w:szCs w:val="56"/>
    </w:rPr>
  </w:style>
  <w:style w:customStyle="1" w:styleId="TitleChar" w:type="character">
    <w:name w:val="Title Char"/>
    <w:aliases w:val="Заголовок3 Char"/>
    <w:basedOn w:val="DefaultParagraphFont"/>
    <w:link w:val="Title"/>
    <w:uiPriority w:val="10"/>
    <w:rsid w:val="00BF7127"/>
    <w:rPr>
      <w:rFonts w:ascii="Times New Roman" w:cstheme="majorBidi" w:eastAsiaTheme="majorEastAsia" w:hAnsi="Times New Roman"/>
      <w:b/>
      <w:color w:themeColor="text1" w:val="000000"/>
      <w:spacing w:val="-10"/>
      <w:kern w:val="28"/>
      <w:sz w:val="28"/>
      <w:szCs w:val="56"/>
    </w:rPr>
  </w:style>
  <w:style w:customStyle="1" w:styleId="Heading3Char" w:type="character">
    <w:name w:val="Heading 3 Char"/>
    <w:basedOn w:val="DefaultParagraphFont"/>
    <w:link w:val="Heading3"/>
    <w:uiPriority w:val="9"/>
    <w:rsid w:val="001814A6"/>
    <w:rPr>
      <w:rFonts w:ascii="Times New Roman" w:cstheme="majorBidi" w:eastAsiaTheme="majorEastAsia" w:hAnsi="Times New Roman"/>
      <w:b/>
      <w:color w:themeColor="text1" w:val="000000"/>
      <w:sz w:val="28"/>
      <w:szCs w:val="24"/>
    </w:rPr>
  </w:style>
  <w:style w:customStyle="1" w:styleId="Content" w:type="paragraph">
    <w:name w:val="Content"/>
    <w:next w:val="Normal"/>
    <w:link w:val="ContentChar"/>
    <w:qFormat/>
    <w:rsid w:val="001C6AB8"/>
    <w:pPr>
      <w:tabs>
        <w:tab w:leader="dot" w:pos="9345" w:val="right"/>
      </w:tabs>
      <w:spacing w:after="0" w:line="360" w:lineRule="auto"/>
    </w:pPr>
    <w:rPr>
      <w:rFonts w:ascii="Times New Roman" w:cs="Times New Roman" w:hAnsi="Times New Roman"/>
      <w:noProof/>
      <w:sz w:val="28"/>
      <w:szCs w:val="28"/>
    </w:rPr>
  </w:style>
  <w:style w:styleId="TOCHeading" w:type="paragraph">
    <w:name w:val="TOC Heading"/>
    <w:basedOn w:val="Heading1"/>
    <w:next w:val="Normal"/>
    <w:link w:val="TOCHeadingChar"/>
    <w:uiPriority w:val="39"/>
    <w:unhideWhenUsed/>
    <w:rsid w:val="00A511B9"/>
    <w:pPr>
      <w:keepLines/>
      <w:pageBreakBefore w:val="0"/>
      <w:widowControl/>
      <w:spacing w:after="0" w:before="240" w:line="259" w:lineRule="auto"/>
      <w:ind w:firstLine="709" w:left="0"/>
      <w:jc w:val="both"/>
      <w:outlineLvl w:val="9"/>
    </w:pPr>
    <w:rPr>
      <w:rFonts w:asciiTheme="majorHAnsi" w:hAnsiTheme="majorHAnsi"/>
      <w:b w:val="0"/>
      <w:caps w:val="0"/>
      <w:color w:themeColor="accent1" w:themeShade="BF" w:val="2F5496"/>
      <w:sz w:val="32"/>
      <w:lang w:eastAsia="ru-RU"/>
    </w:rPr>
  </w:style>
  <w:style w:customStyle="1" w:styleId="ContentChar" w:type="character">
    <w:name w:val="Content Char"/>
    <w:basedOn w:val="Heading1Char"/>
    <w:link w:val="Content"/>
    <w:rsid w:val="001C6AB8"/>
    <w:rPr>
      <w:rFonts w:ascii="Times New Roman" w:cs="Times New Roman" w:eastAsiaTheme="majorEastAsia" w:hAnsi="Times New Roman"/>
      <w:b w:val="0"/>
      <w:caps w:val="0"/>
      <w:noProof/>
      <w:color w:themeColor="text1" w:val="000000"/>
      <w:sz w:val="28"/>
      <w:szCs w:val="28"/>
    </w:rPr>
  </w:style>
  <w:style w:styleId="TOC1" w:type="paragraph">
    <w:name w:val="toc 1"/>
    <w:basedOn w:val="Normal"/>
    <w:next w:val="Normal"/>
    <w:autoRedefine/>
    <w:uiPriority w:val="39"/>
    <w:unhideWhenUsed/>
    <w:rsid w:val="00A511B9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A511B9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A511B9"/>
    <w:pPr>
      <w:spacing w:after="100"/>
      <w:ind w:left="440"/>
    </w:pPr>
  </w:style>
  <w:style w:styleId="Hyperlink" w:type="character">
    <w:name w:val="Hyperlink"/>
    <w:basedOn w:val="DefaultParagraphFont"/>
    <w:uiPriority w:val="99"/>
    <w:unhideWhenUsed/>
    <w:rsid w:val="00A511B9"/>
    <w:rPr>
      <w:color w:themeColor="hyperlink" w:val="0563C1"/>
      <w:u w:val="single"/>
    </w:rPr>
  </w:style>
  <w:style w:customStyle="1" w:styleId="TOCHeading0" w:type="paragraph">
    <w:name w:val="TOCHeading"/>
    <w:link w:val="TOCHeadingChar0"/>
    <w:qFormat/>
    <w:rsid w:val="001C6AB8"/>
    <w:pPr>
      <w:spacing w:after="567" w:line="360" w:lineRule="auto"/>
      <w:jc w:val="center"/>
    </w:pPr>
    <w:rPr>
      <w:rFonts w:ascii="Times New Roman" w:cs="Times New Roman" w:eastAsiaTheme="majorEastAsia" w:hAnsi="Times New Roman"/>
      <w:b/>
      <w:bCs/>
      <w:caps/>
      <w:color w:themeColor="text1" w:val="000000"/>
      <w:sz w:val="36"/>
      <w:szCs w:val="36"/>
      <w:lang w:eastAsia="ru-RU"/>
    </w:rPr>
  </w:style>
  <w:style w:styleId="ListParagraph" w:type="paragraph">
    <w:name w:val="List Paragraph"/>
    <w:basedOn w:val="Normal"/>
    <w:uiPriority w:val="34"/>
    <w:qFormat/>
    <w:rsid w:val="00396C9A"/>
    <w:pPr>
      <w:ind w:left="720"/>
      <w:contextualSpacing/>
    </w:pPr>
  </w:style>
  <w:style w:customStyle="1" w:styleId="TOCHeadingChar" w:type="character">
    <w:name w:val="TOC Heading Char"/>
    <w:basedOn w:val="Heading1Char"/>
    <w:link w:val="TOCHeading"/>
    <w:uiPriority w:val="39"/>
    <w:rsid w:val="001814A6"/>
    <w:rPr>
      <w:rFonts w:asciiTheme="majorHAnsi" w:cstheme="majorBidi" w:eastAsiaTheme="majorEastAsia" w:hAnsiTheme="majorHAnsi"/>
      <w:b w:val="0"/>
      <w:caps w:val="0"/>
      <w:color w:themeColor="accent1" w:themeShade="BF" w:val="2F5496"/>
      <w:sz w:val="32"/>
      <w:szCs w:val="32"/>
      <w:lang w:eastAsia="ru-RU"/>
    </w:rPr>
  </w:style>
  <w:style w:customStyle="1" w:styleId="TOCHeadingChar0" w:type="character">
    <w:name w:val="TOCHeading Char"/>
    <w:basedOn w:val="TOCHeadingChar"/>
    <w:link w:val="TOCHeading0"/>
    <w:rsid w:val="001C6AB8"/>
    <w:rPr>
      <w:rFonts w:ascii="Times New Roman" w:cs="Times New Roman" w:eastAsiaTheme="majorEastAsia" w:hAnsi="Times New Roman"/>
      <w:b/>
      <w:bCs/>
      <w:caps/>
      <w:color w:themeColor="text1" w:val="000000"/>
      <w:sz w:val="36"/>
      <w:szCs w:val="36"/>
      <w:lang w:eastAsia="ru-RU"/>
    </w:rPr>
  </w:style>
  <w:style w:styleId="Header" w:type="paragraph">
    <w:name w:val="header"/>
    <w:basedOn w:val="Normal"/>
    <w:link w:val="HeaderChar"/>
    <w:uiPriority w:val="99"/>
    <w:unhideWhenUsed/>
    <w:rsid w:val="001C6AB8"/>
    <w:pPr>
      <w:tabs>
        <w:tab w:pos="4677" w:val="center"/>
        <w:tab w:pos="9355" w:val="right"/>
      </w:tabs>
      <w:spacing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1C6AB8"/>
    <w:rPr>
      <w:rFonts w:ascii="Times New Roman" w:cs="Times New Roman" w:hAnsi="Times New Roman"/>
      <w:sz w:val="28"/>
      <w:szCs w:val="28"/>
    </w:rPr>
  </w:style>
  <w:style w:styleId="Footer" w:type="paragraph">
    <w:name w:val="footer"/>
    <w:basedOn w:val="Normal"/>
    <w:link w:val="FooterChar"/>
    <w:uiPriority w:val="99"/>
    <w:unhideWhenUsed/>
    <w:rsid w:val="001C6AB8"/>
    <w:pPr>
      <w:tabs>
        <w:tab w:pos="4677" w:val="center"/>
        <w:tab w:pos="9355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1C6AB8"/>
    <w:rPr>
      <w:rFonts w:ascii="Times New Roman" w:cs="Times New Roman" w:hAnsi="Times New Roman"/>
      <w:sz w:val="28"/>
      <w:szCs w:val="28"/>
    </w:rPr>
  </w:style>
  <w:style w:styleId="TableGrid" w:type="table">
    <w:name w:val="Table Grid"/>
    <w:basedOn w:val="TableNormal"/>
    <w:uiPriority w:val="39"/>
    <w:rsid w:val="001C6AB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name" w:type="paragraph">
    <w:name w:val="Table name"/>
    <w:basedOn w:val="Normal"/>
    <w:next w:val="Table"/>
    <w:link w:val="TablenameChar"/>
    <w:qFormat/>
    <w:rsid w:val="00184355"/>
    <w:pPr>
      <w:numPr>
        <w:ilvl w:val="4"/>
        <w:numId w:val="12"/>
      </w:numPr>
      <w:spacing w:before="340" w:line="240" w:lineRule="auto"/>
      <w:jc w:val="left"/>
    </w:pPr>
    <w:rPr>
      <w:i/>
      <w:iCs/>
      <w:sz w:val="24"/>
      <w:szCs w:val="24"/>
    </w:rPr>
  </w:style>
  <w:style w:customStyle="1" w:styleId="Table" w:type="paragraph">
    <w:name w:val="Table"/>
    <w:basedOn w:val="Normal"/>
    <w:link w:val="TableChar"/>
    <w:qFormat/>
    <w:rsid w:val="00BE4672"/>
    <w:pPr>
      <w:spacing w:line="240" w:lineRule="auto"/>
      <w:ind w:firstLine="0"/>
    </w:pPr>
    <w:rPr>
      <w:sz w:val="24"/>
      <w:szCs w:val="24"/>
    </w:rPr>
  </w:style>
  <w:style w:customStyle="1" w:styleId="TablenameChar" w:type="character">
    <w:name w:val="Table name Char"/>
    <w:basedOn w:val="DefaultParagraphFont"/>
    <w:link w:val="Tablename"/>
    <w:rsid w:val="004C769D"/>
    <w:rPr>
      <w:rFonts w:ascii="Times New Roman" w:cs="Times New Roman" w:hAnsi="Times New Roman"/>
      <w:i/>
      <w:iCs/>
      <w:sz w:val="24"/>
      <w:szCs w:val="24"/>
    </w:rPr>
  </w:style>
  <w:style w:customStyle="1" w:styleId="Picturename" w:type="paragraph">
    <w:name w:val="Picture name"/>
    <w:basedOn w:val="Normal"/>
    <w:next w:val="Normal"/>
    <w:link w:val="PicturenameChar"/>
    <w:qFormat/>
    <w:rsid w:val="00184355"/>
    <w:pPr>
      <w:numPr>
        <w:ilvl w:val="3"/>
        <w:numId w:val="11"/>
      </w:numPr>
      <w:spacing w:after="340" w:line="240" w:lineRule="auto"/>
      <w:jc w:val="center"/>
    </w:pPr>
    <w:rPr>
      <w:b/>
      <w:bCs/>
      <w:sz w:val="24"/>
      <w:szCs w:val="24"/>
    </w:rPr>
  </w:style>
  <w:style w:customStyle="1" w:styleId="TableChar" w:type="character">
    <w:name w:val="Table Char"/>
    <w:basedOn w:val="DefaultParagraphFont"/>
    <w:link w:val="Table"/>
    <w:rsid w:val="00BE4672"/>
    <w:rPr>
      <w:rFonts w:ascii="Times New Roman" w:cs="Times New Roman" w:hAnsi="Times New Roman"/>
      <w:sz w:val="24"/>
      <w:szCs w:val="24"/>
    </w:rPr>
  </w:style>
  <w:style w:customStyle="1" w:styleId="PicturenameChar" w:type="character">
    <w:name w:val="Picture name Char"/>
    <w:basedOn w:val="DefaultParagraphFont"/>
    <w:link w:val="Picturename"/>
    <w:rsid w:val="00184355"/>
    <w:rPr>
      <w:rFonts w:ascii="Times New Roman" w:cs="Times New Roman" w:hAnsi="Times New Roman"/>
      <w:b/>
      <w:bCs/>
      <w:sz w:val="24"/>
      <w:szCs w:val="24"/>
    </w:rPr>
  </w:style>
  <w:style w:customStyle="1" w:styleId="Listing" w:type="paragraph">
    <w:name w:val="Listing"/>
    <w:basedOn w:val="Tablename"/>
    <w:next w:val="Code"/>
    <w:link w:val="ListingChar"/>
    <w:qFormat/>
    <w:rsid w:val="00184355"/>
    <w:pPr>
      <w:numPr>
        <w:ilvl w:val="5"/>
      </w:numPr>
    </w:pPr>
  </w:style>
  <w:style w:customStyle="1" w:styleId="ListingChar" w:type="character">
    <w:name w:val="Listing Char"/>
    <w:basedOn w:val="TablenameChar"/>
    <w:link w:val="Listing"/>
    <w:rsid w:val="005D2A56"/>
    <w:rPr>
      <w:rFonts w:ascii="Times New Roman" w:cs="Times New Roman" w:hAnsi="Times New Roman"/>
      <w:i/>
      <w:iCs/>
      <w:sz w:val="24"/>
      <w:szCs w:val="24"/>
    </w:rPr>
  </w:style>
  <w:style w:styleId="NoSpacing" w:type="paragraph">
    <w:name w:val="No Spacing"/>
    <w:link w:val="NoSpacingChar"/>
    <w:uiPriority w:val="1"/>
    <w:qFormat/>
    <w:rsid w:val="005D2A56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8"/>
      <w:lang w:eastAsia="ru-RU"/>
    </w:rPr>
  </w:style>
  <w:style w:customStyle="1" w:styleId="Code" w:type="paragraph">
    <w:name w:val="Code"/>
    <w:basedOn w:val="NoSpacing"/>
    <w:link w:val="CodeChar"/>
    <w:autoRedefine/>
    <w:qFormat/>
    <w:rsid w:val="004F4796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ind w:firstLine="0"/>
      <w:jc w:val="left"/>
    </w:pPr>
    <w:rPr>
      <w:rFonts w:ascii="Courier New" w:cs="Courier New" w:hAnsi="Courier New"/>
      <w:sz w:val="24"/>
      <w:szCs w:val="24"/>
      <w:lang w:val="ru-RU"/>
    </w:rPr>
  </w:style>
  <w:style w:customStyle="1" w:styleId="NoSpacingChar" w:type="character">
    <w:name w:val="No Spacing Char"/>
    <w:basedOn w:val="DefaultParagraphFont"/>
    <w:link w:val="NoSpacing"/>
    <w:uiPriority w:val="1"/>
    <w:rsid w:val="005D2A56"/>
    <w:rPr>
      <w:rFonts w:ascii="Times New Roman" w:eastAsiaTheme="minorEastAsia" w:hAnsi="Times New Roman"/>
      <w:sz w:val="28"/>
      <w:lang w:eastAsia="ru-RU"/>
    </w:rPr>
  </w:style>
  <w:style w:customStyle="1" w:styleId="CodeChar" w:type="character">
    <w:name w:val="Code Char"/>
    <w:basedOn w:val="NoSpacingChar"/>
    <w:link w:val="Code"/>
    <w:rsid w:val="004F4796"/>
    <w:rPr>
      <w:rFonts w:ascii="Courier New" w:cs="Courier New" w:eastAsiaTheme="minorEastAsia" w:hAnsi="Courier New"/>
      <w:sz w:val="24"/>
      <w:szCs w:val="24"/>
      <w:lang w:eastAsia="ru-RU" w:val="ru-RU"/>
    </w:rPr>
  </w:style>
  <w:style w:customStyle="1" w:styleId="Picture" w:type="paragraph">
    <w:name w:val="Picture"/>
    <w:basedOn w:val="Normal"/>
    <w:next w:val="Picturename"/>
    <w:link w:val="PictureChar"/>
    <w:qFormat/>
    <w:rsid w:val="00184355"/>
    <w:pPr>
      <w:keepNext/>
      <w:ind w:firstLine="0"/>
      <w:jc w:val="center"/>
    </w:pPr>
  </w:style>
  <w:style w:customStyle="1" w:styleId="PictureChar" w:type="character">
    <w:name w:val="Picture Char"/>
    <w:basedOn w:val="DefaultParagraphFont"/>
    <w:link w:val="Picture"/>
    <w:rsid w:val="00184355"/>
    <w:rPr>
      <w:rFonts w:ascii="Times New Roman" w:cs="Times New Roman" w:hAnsi="Times New Roman"/>
      <w:sz w:val="28"/>
      <w:szCs w:val="28"/>
    </w:rPr>
  </w:style>
  <w:style w:customStyle="1" w:styleId="a" w:type="paragraph">
    <w:name w:val="a"/>
  </w:style>
  <w:style w:customStyle="1" w:styleId="a0" w:type="paragraph">
    <w:name w:val="a0"/>
  </w:style>
  <w:style w:customStyle="1" w:styleId="a1" w:type="paragraph">
    <w:name w:val="a1"/>
  </w:style>
  <w:style w:customStyle="1" w:styleId="SourceCode" w:type="paragraph">
    <w:name w:val="Source Code"/>
    <w:basedOn w:val="Normal"/>
    <w:pPr>
      <w:wordWrap w:val="0"/>
    </w:p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Pr>
      <w:i/>
      <w:color w:val="60A0B0"/>
    </w:rPr>
  </w:style>
  <w:style w:customStyle="1" w:styleId="DocumentationTok" w:type="character">
    <w:name w:val="DocumentationTok"/>
    <w:rPr>
      <w:i/>
      <w:color w:val="BA2121"/>
    </w:rPr>
  </w:style>
  <w:style w:customStyle="1" w:styleId="AnnotationTok" w:type="character">
    <w:name w:val="AnnotationTok"/>
    <w:rPr>
      <w:b/>
      <w:i/>
      <w:color w:val="60A0B0"/>
    </w:rPr>
  </w:style>
  <w:style w:customStyle="1" w:styleId="CommentVarTok" w:type="character">
    <w:name w:val="CommentVarTok"/>
    <w:rPr>
      <w:b/>
      <w:i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Pr>
      <w:b/>
      <w:i/>
      <w:color w:val="60A0B0"/>
    </w:rPr>
  </w:style>
  <w:style w:customStyle="1" w:styleId="WarningTok" w:type="character">
    <w:name w:val="WarningTok"/>
    <w:rPr>
      <w:b/>
      <w:i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FollowedHyperlink" w:type="character">
    <w:name w:val="FollowedHyperlink"/>
    <w:basedOn w:val="DefaultParagraphFont"/>
    <w:uiPriority w:val="99"/>
    <w:semiHidden/>
    <w:unhideWhenUsed/>
    <w:rsid w:val="00C8733A"/>
    <w:rPr>
      <w:color w:themeColor="followedHyperlink" w:val="954F72"/>
      <w:u w:val="single"/>
    </w:rPr>
  </w:style>
  <w:style w:customStyle="1" w:styleId="Contentword" w:type="character">
    <w:name w:val="Content wor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44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ribk\Documents\&#1053;&#1072;&#1089;&#1090;&#1088;&#1072;&#1080;&#1074;&#1072;&#1077;&#1084;&#1099;&#1077;%20&#1096;&#1072;&#1073;&#1083;&#1086;&#1085;&#1099;%20Office\&#1055;&#1050;&#1057;&#105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C:\Users\gribk\Documents\Настраиваемые шаблоны Office\ПКСС.dotx</Template>
  <TotalTime>12</TotalTime>
  <Pages>22</Pages>
  <Words>2685</Words>
  <Characters>15308</Characters>
  <Application>Microsoft Office Word</Application>
  <DocSecurity>0</DocSecurity>
  <Lines>127</Lines>
  <Paragraphs>35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8. Расчет информационной энтропии проектируемой системы</dc:title>
  <dc:creator>Грибков Александр</dc:creator>
  <dc:language>ru-RU</dc:language>
  <cp:keywords/>
  <dcterms:created xsi:type="dcterms:W3CDTF">2025-11-02T19:59:41Z</dcterms:created>
  <dcterms:modified xsi:type="dcterms:W3CDTF">2025-11-02T19:59:41Z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02.11.2025</vt:lpwstr>
  </property>
</Properties>
</file>