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Практическая работа № 4</w:t>
      </w:r>
    </w:p>
    <w:p>
      <w:pPr>
        <w:pStyle w:val="Subtitle"/>
      </w:pPr>
      <w:r>
        <w:t xml:space="preserve">Функциональное проектирование модели информационной системы с использованием методологии SADT</w:t>
      </w:r>
    </w:p>
    <w:p>
      <w:pPr>
        <w:pStyle w:val="Author"/>
      </w:pPr>
      <w:r>
        <w:t xml:space="preserve">[ФИО студента]</w:t>
      </w:r>
    </w:p>
    <w:p>
      <w:pPr>
        <w:pStyle w:val="Date"/>
      </w:pPr>
      <w:r>
        <w:t xml:space="preserve">02.11.2025</w:t>
      </w:r>
    </w:p>
    <w:bookmarkStart w:id="46" w:name="практическая-работа-4"/>
    <w:p>
      <w:pPr>
        <w:pStyle w:val="Heading1"/>
      </w:pPr>
      <w:r>
        <w:t xml:space="preserve">Практическая работа № 4</w:t>
      </w:r>
    </w:p>
    <w:p>
      <w:pPr>
        <w:pStyle w:val="Normal"/>
      </w:pPr>
      <w:r>
        <w:t xml:space="preserve">Функциональное проектирование модели информационной системы с использованием методологии SADT</w:t>
      </w:r>
    </w:p>
    <w:p>
      <w:pPr>
        <w:pStyle w:val="TOCHeading0"/>
      </w:pPr>
      <w:r>
        <w:t xml:space="preserve">СОДЕРЖАНИЕ</w:t>
      </w:r>
    </w:p>
    <w:p>
      <w:pPr>
        <w:pStyle w:val="Content"/>
      </w:pPr>
      <w:hyperlink w:anchor="введение">
        <w:r>
          <w:rPr>
            <w:rStyle w:val="Hyperlink"/>
          </w:rPr>
          <w:t xml:space="preserve">Введение</w:t>
        </w:r>
      </w:hyperlink>
    </w:p>
    <w:p>
      <w:pPr>
        <w:pStyle w:val="Content"/>
      </w:pPr>
      <w:hyperlink w:anchor="цель-создания-информационной-системы">
        <w:r>
          <w:rPr>
            <w:rStyle w:val="Hyperlink"/>
          </w:rPr>
          <w:t xml:space="preserve">Цель создания информационной системы</w:t>
        </w:r>
      </w:hyperlink>
    </w:p>
    <w:p>
      <w:pPr>
        <w:pStyle w:val="Content"/>
      </w:pPr>
      <w:hyperlink w:anchor="краткое-описание-информационной-системы">
        <w:r>
          <w:rPr>
            <w:rStyle w:val="Hyperlink"/>
          </w:rPr>
          <w:t xml:space="preserve">Краткое описание информационной системы</w:t>
        </w:r>
      </w:hyperlink>
    </w:p>
    <w:p>
      <w:pPr>
        <w:pStyle w:val="Content"/>
      </w:pPr>
      <w:hyperlink w:anchor="способ-создания-информационной-системы">
        <w:r>
          <w:rPr>
            <w:rStyle w:val="Hyperlink"/>
          </w:rPr>
          <w:t xml:space="preserve">Способ создания информационной системы</w:t>
        </w:r>
      </w:hyperlink>
    </w:p>
    <w:p>
      <w:pPr>
        <w:pStyle w:val="Content"/>
      </w:pPr>
      <w:hyperlink w:anchor="средства-создания-информационной-системы">
        <w:r>
          <w:rPr>
            <w:rStyle w:val="Hyperlink"/>
          </w:rPr>
          <w:t xml:space="preserve">Средства создания информационной системы</w:t>
        </w:r>
      </w:hyperlink>
    </w:p>
    <w:p>
      <w:pPr>
        <w:pStyle w:val="Content"/>
      </w:pPr>
      <w:hyperlink w:anchor="Xb497130350f030648b84d5d6e700e4e8c5426aa">
        <w:r>
          <w:rPr>
            <w:rStyle w:val="Hyperlink"/>
          </w:rPr>
          <w:t xml:space="preserve">Проектирование контекстной диаграммы функциональной модели ИС</w:t>
        </w:r>
      </w:hyperlink>
    </w:p>
    <w:p>
      <w:pPr>
        <w:pStyle w:val="Content"/>
      </w:pPr>
      <w:hyperlink w:anchor="глоссарий">
        <w:r>
          <w:rPr>
            <w:rStyle w:val="Hyperlink"/>
          </w:rPr>
          <w:t xml:space="preserve">Глоссарий</w:t>
        </w:r>
      </w:hyperlink>
    </w:p>
    <w:p>
      <w:pPr>
        <w:pStyle w:val="Content"/>
      </w:pPr>
      <w:hyperlink w:anchor="вывод">
        <w:r>
          <w:rPr>
            <w:rStyle w:val="Hyperlink"/>
          </w:rPr>
          <w:t xml:space="preserve">Вывод</w:t>
        </w:r>
      </w:hyperlink>
    </w:p>
    <w:bookmarkStart w:id="16" w:name="введение"/>
    <w:p>
      <w:pPr>
        <w:pStyle w:val="Heading2"/>
      </w:pPr>
      <w:r>
        <w:t xml:space="preserve">Введение</w:t>
      </w:r>
    </w:p>
    <w:p>
      <w:pPr>
        <w:pStyle w:val="Normal"/>
      </w:pPr>
      <w:r>
        <w:t xml:space="preserve">Данная работа посвящена разработке функциональной модели информационной системы SportRent — системы управления прокатом спортивного оборудования. Система предназначена для автоматизации процессов аренды спортивного инвентаря, обеспечения прозрачности учета оборудования, упрощения взаимодействия между клиентами и администрацией, а также повышения эффективности управления ресурсами.</w:t>
      </w:r>
    </w:p>
    <w:p>
      <w:pPr>
        <w:pStyle w:val="Normal"/>
      </w:pPr>
      <w:r>
        <w:t xml:space="preserve">SportRent представляет собой комплексную информационную систему, охватывающую все аспекты бизнес-процессов проката спортивного оборудования: от онлайн-бронирования и оформления заказов до складского учета, обработки платежей и формирования аналитических отчетов.</w:t>
      </w:r>
    </w:p>
    <w:p>
      <w:pPr>
        <w:pStyle w:val="Normal"/>
      </w:pPr>
      <w:r>
        <w:t xml:space="preserve">Для моделирования функциональной структуры системы применяется методология SADT (Structured Analysis and Design Technique) с использованием нотации IDEF0, которая позволяет наглядно представить процессы, информационные потоки и ресурсы, участвующие в работе системы.</w:t>
      </w:r>
    </w:p>
    <w:bookmarkEnd w:id="16"/>
    <w:bookmarkStart w:id="18" w:name="цель-создания-информационной-системы"/>
    <w:p>
      <w:pPr>
        <w:pStyle w:val="Heading2"/>
      </w:pPr>
      <w:r>
        <w:t xml:space="preserve">Цель создания информационной системы</w:t>
      </w:r>
    </w:p>
    <w:p>
      <w:pPr>
        <w:pStyle w:val="Normal"/>
      </w:pPr>
      <w:r>
        <w:t xml:space="preserve">Цель создания ИС SportRent: Автоматизировать управление прокатом спортивного оборудования для повышения эффективности бизнес-процессов, улучшения качества обслуживания клиентов и обеспечения прозрачного контроля над состоянием и доступностью оборудования.</w:t>
      </w:r>
    </w:p>
    <w:bookmarkStart w:id="17" w:name="обоснование-соответствия-определению-ис"/>
    <w:p>
      <w:pPr>
        <w:pStyle w:val="Heading3"/>
      </w:pPr>
      <w:r>
        <w:t xml:space="preserve">Обоснование соответствия определению ИС</w:t>
      </w:r>
    </w:p>
    <w:p>
      <w:pPr>
        <w:pStyle w:val="Normal"/>
      </w:pPr>
      <w:r>
        <w:t xml:space="preserve">Система SportRent полностью соответствует определению информационной системы, поскольку представляет собой совокупность организационных и технических средств, предназначенных для:</w:t>
      </w:r>
    </w:p>
    <w:p>
      <w:pPr>
        <w:pStyle w:val="Compact"/>
        <w:numPr>
          <w:ilvl w:val="0"/>
          <w:numId w:val="1001"/>
        </w:numPr>
      </w:pPr>
      <w:r>
        <w:t xml:space="preserve">Сбора информации — регистрация заявок клиентов, данных об оборудовании, платежной информации</w:t>
      </w:r>
    </w:p>
    <w:p>
      <w:pPr>
        <w:pStyle w:val="Compact"/>
        <w:numPr>
          <w:ilvl w:val="0"/>
          <w:numId w:val="1001"/>
        </w:numPr>
      </w:pPr>
      <w:r>
        <w:t xml:space="preserve">Хранения информации — организация базы данных клиентов, каталога оборудования, истории заказов</w:t>
      </w:r>
    </w:p>
    <w:p>
      <w:pPr>
        <w:pStyle w:val="Compact"/>
        <w:numPr>
          <w:ilvl w:val="0"/>
          <w:numId w:val="1001"/>
        </w:numPr>
      </w:pPr>
      <w:r>
        <w:t xml:space="preserve">Обработки информации — формирование договоров, расчет стоимости аренды, контроль сроков</w:t>
      </w:r>
    </w:p>
    <w:p>
      <w:pPr>
        <w:pStyle w:val="Compact"/>
        <w:numPr>
          <w:ilvl w:val="0"/>
          <w:numId w:val="1001"/>
        </w:numPr>
      </w:pPr>
      <w:r>
        <w:t xml:space="preserve">Передачи информации — взаимодействие между различными модулями системы и пользователями</w:t>
      </w:r>
    </w:p>
    <w:p>
      <w:pPr>
        <w:pStyle w:val="Compact"/>
        <w:numPr>
          <w:ilvl w:val="0"/>
          <w:numId w:val="1001"/>
        </w:numPr>
      </w:pPr>
      <w:r>
        <w:t xml:space="preserve">Представления информации — генерация отчетов, вывод статистики, уведомления пользователей</w:t>
      </w:r>
    </w:p>
    <w:p>
      <w:pPr>
        <w:pStyle w:val="Normal"/>
      </w:pPr>
      <w:r>
        <w:t xml:space="preserve">Система использует современные информационные технологии и обеспечивает поддержку принятия управленческих решений на основе актуальных данных.</w:t>
      </w:r>
    </w:p>
    <w:bookmarkEnd w:id="17"/>
    <w:bookmarkEnd w:id="18"/>
    <w:bookmarkStart w:id="22" w:name="краткое-описание-информационной-системы"/>
    <w:p>
      <w:pPr>
        <w:pStyle w:val="Heading2"/>
      </w:pPr>
      <w:r>
        <w:t xml:space="preserve">Краткое описание информационной системы</w:t>
      </w:r>
    </w:p>
    <w:bookmarkStart w:id="19" w:name="X15c75c7d88b4301056296a7a6c17684ac03aa68"/>
    <w:p>
      <w:pPr>
        <w:pStyle w:val="Heading3"/>
      </w:pPr>
      <w:r>
        <w:t xml:space="preserve">Функциональные возможности системы SportRent</w:t>
      </w:r>
    </w:p>
    <w:p>
      <w:pPr>
        <w:pStyle w:val="Normal"/>
      </w:pPr>
      <w:r>
        <w:t xml:space="preserve">Система SportRent обеспечивает комплексную автоматизацию всех бизнес-процессов проката спортивного оборудования и включает следующие основные функциональные возможности:</w:t>
      </w:r>
    </w:p>
    <w:p>
      <w:pPr>
        <w:pStyle w:val="Compact"/>
        <w:numPr>
          <w:ilvl w:val="0"/>
          <w:numId w:val="1002"/>
        </w:numPr>
      </w:pPr>
      <w:r>
        <w:t xml:space="preserve">Управление каталогом оборудования — ведение полного каталога спортивного инвентаря с характеристиками, фотографиями и ценами. Категоризация оборудования. Управление ценообразованием и тарифными планами. Контроль технического состояния оборудования.</w:t>
      </w:r>
    </w:p>
    <w:p>
      <w:pPr>
        <w:pStyle w:val="Compact"/>
        <w:numPr>
          <w:ilvl w:val="0"/>
          <w:numId w:val="1003"/>
        </w:numPr>
      </w:pPr>
      <w:r>
        <w:t xml:space="preserve">Бронирование и заказы — онлайн-бронирование оборудования с выбором даты и времени. Проверка доступности инвентаря в реальном времени. Формирование и обработка заказов. Управление очередью бронирований и резервирований.</w:t>
      </w:r>
    </w:p>
    <w:p>
      <w:pPr>
        <w:pStyle w:val="Compact"/>
        <w:numPr>
          <w:ilvl w:val="0"/>
          <w:numId w:val="1004"/>
        </w:numPr>
      </w:pPr>
      <w:r>
        <w:t xml:space="preserve">Обработка платежей — интеграция с платежными системами для онлайн-оплаты. Расчет стоимости аренды с учетом длительности и тарифов. Формирование и печать квитанций об оплате. Учет депозитов и залоговых платежей.</w:t>
      </w:r>
    </w:p>
    <w:p>
      <w:pPr>
        <w:pStyle w:val="Compact"/>
        <w:numPr>
          <w:ilvl w:val="0"/>
          <w:numId w:val="1005"/>
        </w:numPr>
      </w:pPr>
      <w:r>
        <w:t xml:space="preserve">Управление клиентами — регистрация и аутентификация пользователей. Управление профилями клиентов. История аренды и статистика использования. Программа лояльности и скидки для постоянных клиентов.</w:t>
      </w:r>
    </w:p>
    <w:p>
      <w:pPr>
        <w:pStyle w:val="Compact"/>
        <w:numPr>
          <w:ilvl w:val="0"/>
          <w:numId w:val="1006"/>
        </w:numPr>
      </w:pPr>
      <w:r>
        <w:t xml:space="preserve">Складской учет — отслеживание местонахождения и статуса каждой единицы оборудования. Учет выдачи и возврата инвентаря. Контроль технического состояния и необходимости обслуживания. Планирование графика технического обслуживания.</w:t>
      </w:r>
    </w:p>
    <w:p>
      <w:pPr>
        <w:pStyle w:val="Compact"/>
        <w:numPr>
          <w:ilvl w:val="0"/>
          <w:numId w:val="1007"/>
        </w:numPr>
      </w:pPr>
      <w:r>
        <w:t xml:space="preserve">Операции с базой данных — надежное хранение всех данных системы. Обеспечение целостности и консистентности информации. Резервное копирование и восстановление данных. Оптимизация запросов для быстрого доступа к информации.</w:t>
      </w:r>
    </w:p>
    <w:p>
      <w:pPr>
        <w:pStyle w:val="Compact"/>
        <w:numPr>
          <w:ilvl w:val="0"/>
          <w:numId w:val="1008"/>
        </w:numPr>
      </w:pPr>
      <w:r>
        <w:t xml:space="preserve">Отчетность и аналитика — формирование отчетов о загрузке оборудования. Финансовая отчетность и анализ доходов. Статистика популярности различных категорий инвентаря. Прогнозирование спроса и планирование закупок.</w:t>
      </w:r>
    </w:p>
    <w:p>
      <w:pPr>
        <w:pStyle w:val="Compact"/>
        <w:numPr>
          <w:ilvl w:val="0"/>
          <w:numId w:val="1009"/>
        </w:numPr>
      </w:pPr>
      <w:r>
        <w:t xml:space="preserve">Системное администрирование — управление пользователями и правами доступа. Настройка параметров системы. Мониторинг работоспособности и производительности. Управление безопасностью и аудит действий пользователей.</w:t>
      </w:r>
    </w:p>
    <w:bookmarkEnd w:id="19"/>
    <w:bookmarkStart w:id="20" w:name="архитектурные-особенности"/>
    <w:p>
      <w:pPr>
        <w:pStyle w:val="Heading3"/>
      </w:pPr>
      <w:r>
        <w:t xml:space="preserve">Архитектурные особенности</w:t>
      </w:r>
    </w:p>
    <w:p>
      <w:pPr>
        <w:pStyle w:val="Normal"/>
      </w:pPr>
      <w:r>
        <w:t xml:space="preserve">Система построена на модульной архитектуре с использованием паттерна архитектуры в виде модульной структуры с 8 независимыми, но интегрированными модулями. API реализован в стиле RESTful для взаимодействия клиент-сервер с обменом данными в формате JSON. База данных — реляционная СУБД с нормализованной схемой данных. Протокол связи — HTTPS/TLS для безопасной передачи данных.</w:t>
      </w:r>
    </w:p>
    <w:bookmarkEnd w:id="20"/>
    <w:bookmarkStart w:id="21" w:name="показатели-качества"/>
    <w:p>
      <w:pPr>
        <w:pStyle w:val="Heading3"/>
      </w:pPr>
      <w:r>
        <w:t xml:space="preserve">Показатели качества</w:t>
      </w:r>
    </w:p>
    <w:p>
      <w:pPr>
        <w:pStyle w:val="Normal"/>
      </w:pPr>
      <w:r>
        <w:t xml:space="preserve">Система разработана с учетом следующих требований к качеству: доступность 99.5% в рабочее время, время отклика максимум 5 секунд для операций бронирования, производительность API 100 запросов в минуту с временем отклика менее 2 секунд, поддержка 100+ одновременных пользователей без деградации производительности. Безопасность обеспечивается шифрованием данных HTTPS/TLS, защитой от SQL-инъекций и XSS-атак.</w:t>
      </w:r>
    </w:p>
    <w:bookmarkEnd w:id="21"/>
    <w:bookmarkEnd w:id="22"/>
    <w:bookmarkStart w:id="26" w:name="способ-создания-информационной-системы"/>
    <w:p>
      <w:pPr>
        <w:pStyle w:val="Heading2"/>
      </w:pPr>
      <w:r>
        <w:t xml:space="preserve">Способ создания информационной системы</w:t>
      </w:r>
    </w:p>
    <w:p>
      <w:pPr>
        <w:pStyle w:val="Normal"/>
      </w:pPr>
      <w:r>
        <w:t xml:space="preserve">Для разработки информационной системы SportRent выбран метод последовательных приближений (итеративная модель).</w:t>
      </w:r>
    </w:p>
    <w:bookmarkStart w:id="23" w:name="обоснование-выбора-методологии"/>
    <w:p>
      <w:pPr>
        <w:pStyle w:val="Heading3"/>
      </w:pPr>
      <w:r>
        <w:t xml:space="preserve">Обоснование выбора методологии</w:t>
      </w:r>
    </w:p>
    <w:p>
      <w:pPr>
        <w:pStyle w:val="Normal"/>
      </w:pPr>
      <w:r>
        <w:t xml:space="preserve">Метод последовательных приближений предполагает пошаговую разработку системы с постепенным уточнением требований и улучшением функциональности. Этот подход оптимален для создания ИС SportRent по следующим причинам:</w:t>
      </w:r>
    </w:p>
    <w:p>
      <w:pPr>
        <w:pStyle w:val="Compact"/>
        <w:numPr>
          <w:ilvl w:val="0"/>
          <w:numId w:val="1010"/>
        </w:numPr>
      </w:pPr>
      <w:r>
        <w:t xml:space="preserve">Гибкость требований — возможность корректировки функциональности на основе обратной связи от пользователей</w:t>
      </w:r>
    </w:p>
    <w:p>
      <w:pPr>
        <w:pStyle w:val="Compact"/>
        <w:numPr>
          <w:ilvl w:val="0"/>
          <w:numId w:val="1010"/>
        </w:numPr>
      </w:pPr>
      <w:r>
        <w:t xml:space="preserve">Снижение рисков — раннее выявление проблем и их устранение на начальных итерациях</w:t>
      </w:r>
    </w:p>
    <w:p>
      <w:pPr>
        <w:pStyle w:val="Compact"/>
        <w:numPr>
          <w:ilvl w:val="0"/>
          <w:numId w:val="1010"/>
        </w:numPr>
      </w:pPr>
      <w:r>
        <w:t xml:space="preserve">Поэтапная реализация — возможность ввода в эксплуатацию отдельных модулей по мере готовности</w:t>
      </w:r>
    </w:p>
    <w:p>
      <w:pPr>
        <w:pStyle w:val="Compact"/>
        <w:numPr>
          <w:ilvl w:val="0"/>
          <w:numId w:val="1010"/>
        </w:numPr>
      </w:pPr>
      <w:r>
        <w:t xml:space="preserve">Адаптация к изменениям — быстрое реагирование на изменения бизнес-требований</w:t>
      </w:r>
    </w:p>
    <w:bookmarkEnd w:id="23"/>
    <w:bookmarkStart w:id="24" w:name="X4241544bbf76564c27fe1ea964bb2b1a1455565"/>
    <w:p>
      <w:pPr>
        <w:pStyle w:val="Heading3"/>
      </w:pPr>
      <w:r>
        <w:t xml:space="preserve">Связь с методологией SADT и нотацией IDEF0</w:t>
      </w:r>
    </w:p>
    <w:p>
      <w:pPr>
        <w:pStyle w:val="Normal"/>
      </w:pPr>
      <w:r>
        <w:t xml:space="preserve">Методология SADT используется на этапе анализа и проектирования для декомпозиции системы, визуализации процессов, выявления взаимосвязей и документирования требований. Нотация IDEF0 обеспечивает стандартизированный способ представления функциональной модели, что упрощает коммуникацию между всеми участниками проекта и позволяет однозначно интерпретировать требования к системе.</w:t>
      </w:r>
    </w:p>
    <w:bookmarkEnd w:id="24"/>
    <w:bookmarkStart w:id="25" w:name="этапы-разработки"/>
    <w:p>
      <w:pPr>
        <w:pStyle w:val="Heading3"/>
      </w:pPr>
      <w:r>
        <w:t xml:space="preserve">Этапы разработки</w:t>
      </w:r>
    </w:p>
    <w:p>
      <w:pPr>
        <w:pStyle w:val="Normal"/>
      </w:pPr>
      <w:r>
        <w:t xml:space="preserve">В соответствии с методом последовательных приближений, разработка системы включает следующие этапы: исследование и технико-экономическое обоснование, сбор и анализ требований, эскизное проектирование, техническое проектирование, разработка, интеграционное тестирование, опытная эксплуатация и промышленное внедрение.</w:t>
      </w:r>
    </w:p>
    <w:bookmarkEnd w:id="25"/>
    <w:bookmarkEnd w:id="26"/>
    <w:bookmarkStart w:id="33" w:name="средства-создания-информационной-системы"/>
    <w:p>
      <w:pPr>
        <w:pStyle w:val="Heading2"/>
      </w:pPr>
      <w:r>
        <w:t xml:space="preserve">Средства создания информационной системы</w:t>
      </w:r>
    </w:p>
    <w:p>
      <w:pPr>
        <w:pStyle w:val="Normal"/>
      </w:pPr>
      <w:r>
        <w:t xml:space="preserve">Для разработки и функционирования информационной системы SportRent используется следующий технологический стек:</w:t>
      </w:r>
    </w:p>
    <w:bookmarkStart w:id="27" w:name="frontend-клиентская-часть"/>
    <w:p>
      <w:pPr>
        <w:pStyle w:val="Heading3"/>
      </w:pPr>
      <w:r>
        <w:t xml:space="preserve">Frontend (клиентская часть)</w:t>
      </w:r>
    </w:p>
    <w:p>
      <w:pPr>
        <w:pStyle w:val="Normal"/>
      </w:pPr>
      <w:r>
        <w:t xml:space="preserve">HTML5 — разметка структуры веб-страниц. CSS3 — стилизация и адаптивный дизайн интерфейса. JavaScript фреймворки: React, Vue.js или Angular — для создания динамичного, отзывчивого пользовательского интерфейса. Выбор конкретного фреймворка определяется на этапе технического проектирования.</w:t>
      </w:r>
    </w:p>
    <w:bookmarkEnd w:id="27"/>
    <w:bookmarkStart w:id="28" w:name="backend-серверная-часть"/>
    <w:p>
      <w:pPr>
        <w:pStyle w:val="Heading3"/>
      </w:pPr>
      <w:r>
        <w:t xml:space="preserve">Backend (серверная часть)</w:t>
      </w:r>
    </w:p>
    <w:p>
      <w:pPr>
        <w:pStyle w:val="Normal"/>
      </w:pPr>
      <w:r>
        <w:t xml:space="preserve">Серверная логика может быть реализована на одном из следующих языков: Python (Django, Flask, FastAPI) — высокая скорость разработки, богатая экосистема. Node.js (Express.js) — асинхронная обработка, единый язык с frontend. Java (Spring Boot) — масштабируемость, надежность для enterprise-решений. C# (ASP.NET Core) — высокая производительность, интеграция с Microsoft-технологиями.</w:t>
      </w:r>
    </w:p>
    <w:bookmarkEnd w:id="28"/>
    <w:bookmarkStart w:id="29" w:name="база-данных"/>
    <w:p>
      <w:pPr>
        <w:pStyle w:val="Heading3"/>
      </w:pPr>
      <w:r>
        <w:t xml:space="preserve">База данных</w:t>
      </w:r>
    </w:p>
    <w:p>
      <w:pPr>
        <w:pStyle w:val="Normal"/>
      </w:pPr>
      <w:r>
        <w:t xml:space="preserve">PostgreSQL (рекомендуется) — мощная открытая СУБД с поддержкой ACID и расширенными возможностями. MySQL (альтернатива) — популярная реляционная СУБД с хорошей производительностью. Особенности проектирования БД: нормализованная схема данных (3NF), индексация для оптимизации запросов, механизмы транзакций для обеспечения целостности данных.</w:t>
      </w:r>
    </w:p>
    <w:bookmarkEnd w:id="29"/>
    <w:bookmarkStart w:id="30" w:name="веб-сервер"/>
    <w:p>
      <w:pPr>
        <w:pStyle w:val="Heading3"/>
      </w:pPr>
      <w:r>
        <w:t xml:space="preserve">Веб-сервер</w:t>
      </w:r>
    </w:p>
    <w:p>
      <w:pPr>
        <w:pStyle w:val="Normal"/>
      </w:pPr>
      <w:r>
        <w:t xml:space="preserve">Nginx 1.18+ (рекомендуется) — высокопроизводительный HTTP-сервер и обратный прокси. Apache 2.4+ (альтернатива) — универсальный веб-сервер с богатой функциональностью.</w:t>
      </w:r>
    </w:p>
    <w:bookmarkEnd w:id="30"/>
    <w:bookmarkStart w:id="31" w:name="инструменты-моделирования"/>
    <w:p>
      <w:pPr>
        <w:pStyle w:val="Heading3"/>
      </w:pPr>
      <w:r>
        <w:t xml:space="preserve">Инструменты моделирования</w:t>
      </w:r>
    </w:p>
    <w:p>
      <w:pPr>
        <w:pStyle w:val="Normal"/>
      </w:pPr>
      <w:r>
        <w:t xml:space="preserve">Ramus Educational — CASE-средство для создания диаграмм IDEF0 в соответствии с РД IDEF0-2000. PlantUML — инструмент для создания UML-диаграмм из текстового описания.</w:t>
      </w:r>
    </w:p>
    <w:bookmarkEnd w:id="31"/>
    <w:bookmarkStart w:id="32" w:name="дополнительные-технологии"/>
    <w:p>
      <w:pPr>
        <w:pStyle w:val="Heading3"/>
      </w:pPr>
      <w:r>
        <w:t xml:space="preserve">Дополнительные технологии</w:t>
      </w:r>
    </w:p>
    <w:p>
      <w:pPr>
        <w:pStyle w:val="Normal"/>
      </w:pPr>
      <w:r>
        <w:t xml:space="preserve">RESTful API — архитектурный стиль для взаимодействия клиента и сервера. JSON — формат обмена данными. JWT (JSON Web Tokens) — механизм аутентификации и авторизации. HTTPS/TLS — протокол безопасной передачи данных. Git — система контроля версий для управления исходным кодом. Интеграция с платежными системами (Stripe, PayPal, ЮKassa). Системы уведомлений — email-рассылка, SMS-уведомления.</w:t>
      </w:r>
    </w:p>
    <w:bookmarkEnd w:id="32"/>
    <w:bookmarkEnd w:id="33"/>
    <w:bookmarkStart w:id="43" w:name="Xb497130350f030648b84d5d6e700e4e8c5426aa"/>
    <w:p>
      <w:pPr>
        <w:pStyle w:val="Heading2"/>
      </w:pPr>
      <w:r>
        <w:t xml:space="preserve">Проектирование контекстной диаграммы функциональной модели ИС</w:t>
      </w:r>
    </w:p>
    <w:bookmarkStart w:id="37" w:name="описание-контекстной-диаграммы-a-0"/>
    <w:p>
      <w:pPr>
        <w:pStyle w:val="Heading3"/>
      </w:pPr>
      <w:r>
        <w:t xml:space="preserve">Описание контекстной диаграммы A-0</w:t>
      </w:r>
    </w:p>
    <w:p>
      <w:pPr>
        <w:pStyle w:val="Normal"/>
      </w:pPr>
      <w:r>
        <w:t xml:space="preserve">Контекстная диаграмма A-0 представляет систему SportRent на самом верхнем уровне абстракции как единый функциональный блок, взаимодействующий с внешним окружением.</w:t>
      </w:r>
    </w:p>
    <w:p>
      <w:pPr>
        <w:pStyle w:val="Picture"/>
      </w:pPr>
      <w:r>
        <w:drawing>
          <wp:inline>
            <wp:extent cx="6108700" cy="31552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solutions/diagrams/context-diagram-a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5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Picturename"/>
      </w:pPr>
      <w:r>
        <w:t xml:space="preserve">Контекстная диаграмма A-0 системы управления прокатом спортивного оборудования SportRent</w:t>
      </w:r>
    </w:p>
    <w:bookmarkEnd w:id="37"/>
    <w:bookmarkStart w:id="38" w:name="функциональный-блок-a0"/>
    <w:p>
      <w:pPr>
        <w:pStyle w:val="Heading3"/>
      </w:pPr>
      <w:r>
        <w:t xml:space="preserve">Функциональный блок A0</w:t>
      </w:r>
    </w:p>
    <w:p>
      <w:pPr>
        <w:pStyle w:val="Normal"/>
      </w:pPr>
      <w:r>
        <w:t xml:space="preserve">Название: Автоматизировать управление прокатом спортивного оборудования. Номер: A0.</w:t>
      </w:r>
    </w:p>
    <w:p>
      <w:pPr>
        <w:pStyle w:val="Normal"/>
      </w:pPr>
      <w:r>
        <w:t xml:space="preserve">Описание: Центральный функциональный блок представляет всю информационную систему SportRent как единое целое. Он отражает главную цель системы — автоматизацию всех процессов, связанных с прокатом спортивного оборудования, от момента получения заявки клиента до формирования отчетов и аналитики.</w:t>
      </w:r>
    </w:p>
    <w:p>
      <w:pPr>
        <w:pStyle w:val="Normal"/>
      </w:pPr>
      <w:r>
        <w:t xml:space="preserve">Блок выполняет следующие основные функции: прием и обработка заявок клиентов на аренду, управление каталогом оборудования и контроль доступности, обработка платежей и финансовых операций, формирование договорной и отчетной документации, учет движения оборудования на складе, предоставление информации о статусе заказов.</w:t>
      </w:r>
    </w:p>
    <w:bookmarkEnd w:id="38"/>
    <w:bookmarkStart w:id="39" w:name="элементы-управления-control"/>
    <w:p>
      <w:pPr>
        <w:pStyle w:val="Heading3"/>
      </w:pPr>
      <w:r>
        <w:t xml:space="preserve">Элементы управления (Control)</w:t>
      </w:r>
    </w:p>
    <w:p>
      <w:pPr>
        <w:pStyle w:val="Normal"/>
      </w:pPr>
      <w:r>
        <w:t xml:space="preserve">Элементы управления определяют правила, регламенты и алгоритмы, которым должна следовать система при выполнении своих функций.</w:t>
      </w:r>
    </w:p>
    <w:p>
      <w:pPr>
        <w:pStyle w:val="Normal"/>
      </w:pPr>
      <w:r>
        <w:t xml:space="preserve">C1: ФЗ-152 о персональных данных — Федеральный закон Российской Федерации № 152-ФЗ «О персональных данных» регулирует обработку персональных данных клиентов. Система обрабатывает персональные данные клиентов (ФИО, контактные данные, паспортные данные), поэтому обязана соответствовать требованиям законодательства о защите персональных данных.</w:t>
      </w:r>
    </w:p>
    <w:p>
      <w:pPr>
        <w:pStyle w:val="Normal"/>
      </w:pPr>
      <w:r>
        <w:t xml:space="preserve">C2: Политика компании — внутренние правила и политики компании SportRent, определяющие бизнес-процессы, тарифы, условия аренды, программы лояльности. Политика компании определяет уникальные бизнес-правила: размер залога, правила возврата оборудования, условия отмены бронирования, скидки для постоянных клиентов.</w:t>
      </w:r>
    </w:p>
    <w:p>
      <w:pPr>
        <w:pStyle w:val="Normal"/>
      </w:pPr>
      <w:r>
        <w:t xml:space="preserve">C3: ГОСТ 34.602-2020 — государственный стандарт «Информационные технологии. Комплекс стандартов на автоматизированные системы. Техническое задание на создание автоматизированной системы». Стандарт определяет требования к техническому заданию и разработке автоматизированных систем, обеспечивая единообразие подходов к проектированию.</w:t>
      </w:r>
    </w:p>
    <w:p>
      <w:pPr>
        <w:pStyle w:val="Normal"/>
      </w:pPr>
      <w:r>
        <w:t xml:space="preserve">C4: Алгоритмы обработки заказов и платежей — бизнес-логика системы, определяющая последовательность действий при обработке заявок, расчете стоимости, проведении платежей, формировании документов. Алгоритмы определяют логику проверки доступности оборудования, расчет стоимости аренды, процесс оформления заказа, механизм проведения платежей.</w:t>
      </w:r>
    </w:p>
    <w:bookmarkEnd w:id="39"/>
    <w:bookmarkStart w:id="40" w:name="входящие-потоки-input"/>
    <w:p>
      <w:pPr>
        <w:pStyle w:val="Heading3"/>
      </w:pPr>
      <w:r>
        <w:t xml:space="preserve">Входящие потоки (Input)</w:t>
      </w:r>
    </w:p>
    <w:p>
      <w:pPr>
        <w:pStyle w:val="Normal"/>
      </w:pPr>
      <w:r>
        <w:t xml:space="preserve">Входящие потоки представляют собой информацию, которая поступает в систему извне и подлежит обработке.</w:t>
      </w:r>
    </w:p>
    <w:p>
      <w:pPr>
        <w:pStyle w:val="Normal"/>
      </w:pPr>
      <w:r>
        <w:t xml:space="preserve">I1: Заявка клиента на аренду — запрос клиента на бронирование конкретного вида оборудования на определенный период времени. Заявка является основным входом, инициирующим работу системы. Она содержит информацию о желаемом оборудовании, датах аренды, дополнительных услугах.</w:t>
      </w:r>
    </w:p>
    <w:p>
      <w:pPr>
        <w:pStyle w:val="Normal"/>
      </w:pPr>
      <w:r>
        <w:t xml:space="preserve">I2: Персональные данные клиента — личная информация клиента, необходимая для идентификации, регистрации и оформления договора аренды. Персональные данные необходимы для создания учетной записи клиента, оформления юридически значимых документов, связи с клиентом.</w:t>
      </w:r>
    </w:p>
    <w:p>
      <w:pPr>
        <w:pStyle w:val="Normal"/>
      </w:pPr>
      <w:r>
        <w:t xml:space="preserve">I3: Данные об оборудовании — информация о спортивном инвентаре, имеющемся в наличии, его характеристиках, состоянии и местонахождении. Данные об оборудовании являются основой каталога системы и необходимы для отображения доступного инвентаря, проверки технического состояния, планирования обслуживания, учета движения на складе.</w:t>
      </w:r>
    </w:p>
    <w:p>
      <w:pPr>
        <w:pStyle w:val="Normal"/>
      </w:pPr>
      <w:r>
        <w:t xml:space="preserve">I4: Платежная информация — данные о платежах клиентов, включая информацию о способе оплаты, сумме, статусе транзакции. Платежная информация критически важна для проведения финансовых транзакций, подтверждения оплаты услуг, формирования финансовой отчетности, обеспечения безопасности платежей.</w:t>
      </w:r>
    </w:p>
    <w:bookmarkEnd w:id="40"/>
    <w:bookmarkStart w:id="41" w:name="исходящие-потоки-output"/>
    <w:p>
      <w:pPr>
        <w:pStyle w:val="Heading3"/>
      </w:pPr>
      <w:r>
        <w:t xml:space="preserve">Исходящие потоки (Output)</w:t>
      </w:r>
    </w:p>
    <w:p>
      <w:pPr>
        <w:pStyle w:val="Normal"/>
      </w:pPr>
      <w:r>
        <w:t xml:space="preserve">Исходящие потоки представляют собой результаты работы системы, которые передаются пользователям или внешним системам.</w:t>
      </w:r>
    </w:p>
    <w:p>
      <w:pPr>
        <w:pStyle w:val="Normal"/>
      </w:pPr>
      <w:r>
        <w:t xml:space="preserve">O1: Договор аренды — официальный документ, фиксирующий условия аренды спортивного оборудования между компанией SportRent и клиентом. Договор является юридически значимым документом, который определяет права и обязанности сторон, устанавливает условия аренды и стоимость услуг, регулирует ответственность за ущерб или утрату оборудования.</w:t>
      </w:r>
    </w:p>
    <w:p>
      <w:pPr>
        <w:pStyle w:val="Normal"/>
      </w:pPr>
      <w:r>
        <w:t xml:space="preserve">O2: Квитанция об оплате — документ, подтверждающий факт оплаты услуг аренды клиентом. Квитанция необходима для подтверждения совершения платежа, ведения финансового учета, предоставления клиенту доказательства оплаты, налоговой отчетности.</w:t>
      </w:r>
    </w:p>
    <w:p>
      <w:pPr>
        <w:pStyle w:val="Normal"/>
      </w:pPr>
      <w:r>
        <w:t xml:space="preserve">O3: Акт приема-передачи оборудования — документ, фиксирующий состояние оборудования при выдаче клиенту и при его возврате. Акт приема-передачи служит для документирования состояния оборудования до и после аренды, фиксации комплектности инвентаря, разрешения споров о повреждениях.</w:t>
      </w:r>
    </w:p>
    <w:p>
      <w:pPr>
        <w:pStyle w:val="Normal"/>
      </w:pPr>
      <w:r>
        <w:t xml:space="preserve">O4: Отчеты и аналитика — аналитические отчеты, содержащие статистику по работе системы, финансовым показателям, загрузке оборудования. Отчеты необходимы для анализа эффективности бизнес-процессов, принятия управленческих решений, планирования закупок нового оборудования, оценки финансовых результатов.</w:t>
      </w:r>
    </w:p>
    <w:p>
      <w:pPr>
        <w:pStyle w:val="Normal"/>
      </w:pPr>
      <w:r>
        <w:t xml:space="preserve">O5: Информация о статусе заказа — актуальная информация о текущем состоянии заказа клиента (оформлен, подтвержден, готов к выдаче, выдан, завершен). Информация о статусе позволяет держать клиента в курсе обработки его заказа, снизить количество запросов в службу поддержки, повысить прозрачность процессов.</w:t>
      </w:r>
    </w:p>
    <w:bookmarkEnd w:id="41"/>
    <w:bookmarkStart w:id="42" w:name="механизмы-mechanism"/>
    <w:p>
      <w:pPr>
        <w:pStyle w:val="Heading3"/>
      </w:pPr>
      <w:r>
        <w:t xml:space="preserve">Механизмы (Mechanism)</w:t>
      </w:r>
    </w:p>
    <w:p>
      <w:pPr>
        <w:pStyle w:val="Normal"/>
      </w:pPr>
      <w:r>
        <w:t xml:space="preserve">Механизмы представляют собой ресурсы (люди, системы, оборудование), которые обеспечивают выполнение функций системы.</w:t>
      </w:r>
    </w:p>
    <w:p>
      <w:pPr>
        <w:pStyle w:val="Normal"/>
      </w:pPr>
      <w:r>
        <w:t xml:space="preserve">M1: Клиенты — конечные пользователи системы, физические или юридические лица, арендующие спортивное оборудование. Клиенты являются основными пользователями системы, которые инициируют процесс аренды, взаимодействуют с веб-интерфейсом, осуществляют оплату услуг, получают и возвращают оборудование.</w:t>
      </w:r>
    </w:p>
    <w:p>
      <w:pPr>
        <w:pStyle w:val="Normal"/>
      </w:pPr>
      <w:r>
        <w:t xml:space="preserve">M2: Менеджеры — бизнес-операторы, отвечающие за управление каталогом, ценообразование, обработку заказов и бизнес-аналитику. Менеджеры обеспечивают актуальность каталога оборудования, гибкое управление ценами, обработку нестандартных заказов, анализ бизнес-показателей.</w:t>
      </w:r>
    </w:p>
    <w:p>
      <w:pPr>
        <w:pStyle w:val="Normal"/>
      </w:pPr>
      <w:r>
        <w:t xml:space="preserve">M3: Администраторы — системные администраторы с полным доступом к настройкам системы, управлению пользователями, безопасностью и техническому обслуживанию. Администраторы необходимы для обеспечения бесперебойной работы системы, управления безопасностью и правами доступа, настройки интеграций, мониторинга производительности.</w:t>
      </w:r>
    </w:p>
    <w:p>
      <w:pPr>
        <w:pStyle w:val="Normal"/>
      </w:pPr>
      <w:r>
        <w:t xml:space="preserve">M4: Складской персонал — сотрудники, отвечающие за физические операции с оборудованием: выдачу клиентам, прием возвратов, проверку состояния, складской учет. Складской персонал обеспечивает физическую выдачу оборудования, контроль состояния инвентаря при возврате, ведение складского учета, подготовку оборудования к аренде.</w:t>
      </w:r>
    </w:p>
    <w:p>
      <w:pPr>
        <w:pStyle w:val="Normal"/>
      </w:pPr>
      <w:r>
        <w:t xml:space="preserve">M5: СУБД (PostgreSQL/MySQL) — система управления базами данных, обеспечивающая надежное хранение, быстрый доступ и целостность всех данных системы. СУБД является критически важным компонентом, который обеспечивает персистентность всех данных, гарантирует ACID-свойства транзакций, поддерживает сложные запросы и аналитику.</w:t>
      </w:r>
    </w:p>
    <w:p>
      <w:pPr>
        <w:pStyle w:val="Normal"/>
      </w:pPr>
      <w:r>
        <w:t xml:space="preserve">M6: Платежная система — внешний сервис обработки платежей (Stripe, PayPal, ЮKassa), интегрированный с системой SportRent для проведения финансовых транзакций. Платежная система необходима для безопасной обработки платежей клиентов, поддержки различных способов оплаты, соответствия стандартам безопасности.</w:t>
      </w:r>
    </w:p>
    <w:bookmarkEnd w:id="42"/>
    <w:bookmarkEnd w:id="43"/>
    <w:bookmarkStart w:id="44" w:name="глоссарий"/>
    <w:p>
      <w:pPr>
        <w:pStyle w:val="Heading2"/>
      </w:pPr>
      <w:r>
        <w:t xml:space="preserve">Глоссарий</w:t>
      </w:r>
    </w:p>
    <w:p>
      <w:pPr>
        <w:pStyle w:val="Normal"/>
      </w:pPr>
      <w:r>
        <w:t xml:space="preserve">A-0 (контекстная диаграмма) — диаграмма верхнего уровня в нотации IDEF0, представляющая систему как единый функциональный блок с внешним окружением.</w:t>
      </w:r>
    </w:p>
    <w:p>
      <w:pPr>
        <w:pStyle w:val="Normal"/>
      </w:pPr>
      <w:r>
        <w:t xml:space="preserve">ACID — набор свойств транзакций в СУБД: Atomicity (атомарность), Consistency (согласованность), Isolation (изолированность), Durability (долговечность).</w:t>
      </w:r>
    </w:p>
    <w:p>
      <w:pPr>
        <w:pStyle w:val="Normal"/>
      </w:pPr>
      <w:r>
        <w:t xml:space="preserve">API (Application Programming Interface) — интерфейс программирования приложений, набор методов для взаимодействия между различными программными компонентами.</w:t>
      </w:r>
    </w:p>
    <w:p>
      <w:pPr>
        <w:pStyle w:val="Normal"/>
      </w:pPr>
      <w:r>
        <w:t xml:space="preserve">HTTPS/TLS — протокол безопасной передачи данных через интернет с использованием шифрования.</w:t>
      </w:r>
    </w:p>
    <w:p>
      <w:pPr>
        <w:pStyle w:val="Normal"/>
      </w:pPr>
      <w:r>
        <w:t xml:space="preserve">IDEF0 (Integration Definition for Function Modeling) — методология функционального моделирования, стандарт для создания функциональных моделей систем.</w:t>
      </w:r>
    </w:p>
    <w:p>
      <w:pPr>
        <w:pStyle w:val="Normal"/>
      </w:pPr>
      <w:r>
        <w:t xml:space="preserve">JSON (JavaScript Object Notation) — текстовый формат обмена данными, основанный на JavaScript.</w:t>
      </w:r>
    </w:p>
    <w:p>
      <w:pPr>
        <w:pStyle w:val="Normal"/>
      </w:pPr>
      <w:r>
        <w:t xml:space="preserve">RESTful API — архитектурный стиль для создания веб-сервисов, основанный на протоколе HTTP и принципах REST.</w:t>
      </w:r>
    </w:p>
    <w:p>
      <w:pPr>
        <w:pStyle w:val="Normal"/>
      </w:pPr>
      <w:r>
        <w:t xml:space="preserve">SADT (Structured Analysis and Design Technique) — методология структурного анализа и проектирования систем.</w:t>
      </w:r>
    </w:p>
    <w:p>
      <w:pPr>
        <w:pStyle w:val="Normal"/>
      </w:pPr>
      <w:r>
        <w:t xml:space="preserve">СУБД — система управления базами данных, программное обеспечение для создания, управления и доступа к базам данных.</w:t>
      </w:r>
    </w:p>
    <w:p>
      <w:pPr>
        <w:pStyle w:val="Normal"/>
      </w:pPr>
      <w:r>
        <w:t xml:space="preserve">Акт приема-передачи — документ, фиксирующий факт передачи оборудования от одной стороны другой с описанием состояния и комплектности.</w:t>
      </w:r>
    </w:p>
    <w:p>
      <w:pPr>
        <w:pStyle w:val="Normal"/>
      </w:pPr>
      <w:r>
        <w:t xml:space="preserve">Аутентификация — процесс проверки подлинности пользователя, обычно с использованием логина и пароля.</w:t>
      </w:r>
    </w:p>
    <w:p>
      <w:pPr>
        <w:pStyle w:val="Normal"/>
      </w:pPr>
      <w:r>
        <w:t xml:space="preserve">Бронирование — предварительный заказ оборудования на определенный период времени.</w:t>
      </w:r>
    </w:p>
    <w:p>
      <w:pPr>
        <w:pStyle w:val="Normal"/>
      </w:pPr>
      <w:r>
        <w:t xml:space="preserve">Декомпозиция — процесс разбиения сложной системы на более простые составные части для упрощения анализа и проектирования.</w:t>
      </w:r>
    </w:p>
    <w:p>
      <w:pPr>
        <w:pStyle w:val="Normal"/>
      </w:pPr>
      <w:r>
        <w:t xml:space="preserve">Залог — денежная сумма, вносимая клиентом в качестве гарантии сохранности арендуемого оборудования.</w:t>
      </w:r>
    </w:p>
    <w:p>
      <w:pPr>
        <w:pStyle w:val="Normal"/>
      </w:pPr>
      <w:r>
        <w:t xml:space="preserve">Информационная система (ИС) — совокупность технических и программных средств, персонала и процедур, предназначенных для сбора, хранения, обработки и передачи информации.</w:t>
      </w:r>
    </w:p>
    <w:p>
      <w:pPr>
        <w:pStyle w:val="Normal"/>
      </w:pPr>
      <w:r>
        <w:t xml:space="preserve">Квитанция — документ, подтверждающий факт получения денежных средств.</w:t>
      </w:r>
    </w:p>
    <w:p>
      <w:pPr>
        <w:pStyle w:val="Normal"/>
      </w:pPr>
      <w:r>
        <w:t xml:space="preserve">Модуль — функционально завершенная часть программной системы, выполняющая определенную задачу.</w:t>
      </w:r>
    </w:p>
    <w:p>
      <w:pPr>
        <w:pStyle w:val="Normal"/>
      </w:pPr>
      <w:r>
        <w:t xml:space="preserve">Нормализация БД — процесс организации данных в базе данных для уменьшения избыточности и улучшения целостности.</w:t>
      </w:r>
    </w:p>
    <w:p>
      <w:pPr>
        <w:pStyle w:val="Normal"/>
      </w:pPr>
      <w:r>
        <w:t xml:space="preserve">Платежный шлюз — сервис, обеспечивающий безопасную передачу платежной информации между клиентом, продавцом и банком.</w:t>
      </w:r>
    </w:p>
    <w:p>
      <w:pPr>
        <w:pStyle w:val="Normal"/>
      </w:pPr>
      <w:r>
        <w:t xml:space="preserve">Складской учет — система контроля и документирования движения товарно-материальных ценностей на складе.</w:t>
      </w:r>
    </w:p>
    <w:p>
      <w:pPr>
        <w:pStyle w:val="Normal"/>
      </w:pPr>
      <w:r>
        <w:t xml:space="preserve">Функциональный блок — элемент диаграммы IDEF0, представляющий функцию или процесс системы.</w:t>
      </w:r>
    </w:p>
    <w:bookmarkEnd w:id="44"/>
    <w:bookmarkStart w:id="45" w:name="вывод"/>
    <w:p>
      <w:pPr>
        <w:pStyle w:val="Heading2"/>
      </w:pPr>
      <w:r>
        <w:t xml:space="preserve">Вывод</w:t>
      </w:r>
    </w:p>
    <w:p>
      <w:pPr>
        <w:pStyle w:val="Normal"/>
      </w:pPr>
      <w:r>
        <w:t xml:space="preserve">В ходе выполнения практической работы была разработана контекстная диаграмма A-0 функциональной модели информационной системы SportRent в нотации IDEF0 с использованием методологии SADT.</w:t>
      </w:r>
    </w:p>
    <w:p>
      <w:pPr>
        <w:pStyle w:val="Normal"/>
      </w:pPr>
      <w:r>
        <w:t xml:space="preserve">Созданная диаграмма наглядно представляет систему управления прокатом спортивного оборудования как единый функциональный блок с четко определенными входными потоками (заявки клиентов, персональные данные, информация об оборудовании и платежах), выходными потоками (договоры, квитанции, акты, отчеты и информация о статусе заказов), элементами управления (законодательство, политики компании, стандарты и алгоритмы обработки) и механизмами (пользователи различных ролей, СУБД и платежные системы).</w:t>
      </w:r>
    </w:p>
    <w:p>
      <w:pPr>
        <w:pStyle w:val="Normal"/>
      </w:pPr>
      <w:r>
        <w:t xml:space="preserve">Разработанная модель соответствует требованиям руководящего документа РД IDEF0-2000 и может служить основой для дальнейшей декомпозиции системы на более детальные уровни представления.</w:t>
      </w:r>
    </w:p>
    <w:p>
      <w:pPr>
        <w:pStyle w:val="Normal"/>
      </w:pPr>
      <w:r>
        <w:t xml:space="preserve">Применение методологии SADT и нотации IDEF0 позволило формализовать требования к информационной системе SportRent, выявить все основные информационные потоки и ресурсы, определить границы системы и её взаимодействие с внешним окружением, создать основу для дальнейшего проектирования и разработки системы.</w:t>
      </w:r>
    </w:p>
    <w:p>
      <w:pPr>
        <w:pStyle w:val="Normal"/>
      </w:pPr>
      <w:r>
        <w:t xml:space="preserve">Полученная контекстная диаграмма может быть использована в качестве отправной точки для детальной декомпозиции функций системы на последующих уровнях моделирования, что позволит более подробно описать внутренние процессы каждого модуля системы SportRent.</w:t>
      </w:r>
    </w:p>
    <w:bookmarkEnd w:id="45"/>
    <w:bookmarkEnd w:id="46"/>
    <w:sectPr w:rsidR="003066A2" w:rsidSect="00326D25">
      <w:footerReference r:id="rId7" w:type="default"/>
      <w:pgSz w:h="16838" w:w="11906"/>
      <w:pgMar w:bottom="1134" w:footer="709" w:gutter="0" w:header="709" w:left="1701" w:right="567" w:top="1134"/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23075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F8D38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4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hanging="360" w:left="214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86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58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430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502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74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46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718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909"/>
      </w:pPr>
      <w:rPr>
        <w:rFonts w:ascii="Wingdings" w:hAnsi="Wingdings" w:hint="default"/>
      </w:rPr>
    </w:lvl>
  </w:abstractNum>
  <w:abstractNum w15:restartNumberingAfterBreak="0" w:abstractNumId="5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firstLine="0" w:left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709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6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hanging="360" w:left="2149"/>
      </w:pPr>
      <w:rPr>
        <w:rFonts w:ascii="Times New Roman" w:cs="Times New Roman" w:eastAsiaTheme="minorHAnsi" w:hAnsi="Times New Roman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9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pos="1276" w:val="num"/>
        </w:tabs>
        <w:ind w:hanging="567" w:left="1276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1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3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4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5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hanging="360" w:left="213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6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16cid:durableId="1818762989" w:numId="1">
    <w:abstractNumId w:val="7"/>
  </w:num>
  <w:num w16cid:durableId="1345088322" w:numId="2">
    <w:abstractNumId w:val="4"/>
  </w:num>
  <w:num w16cid:durableId="1581132145" w:numId="3">
    <w:abstractNumId w:val="18"/>
  </w:num>
  <w:num w16cid:durableId="1426881847" w:numId="4">
    <w:abstractNumId w:val="9"/>
  </w:num>
  <w:num w16cid:durableId="1529294893" w:numId="5">
    <w:abstractNumId w:val="15"/>
  </w:num>
  <w:num w16cid:durableId="1007949964" w:numId="6">
    <w:abstractNumId w:val="16"/>
  </w:num>
  <w:num w16cid:durableId="287131687"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80069663" w:numId="8">
    <w:abstractNumId w:val="5"/>
  </w:num>
  <w:num w16cid:durableId="23291384" w:numId="9">
    <w:abstractNumId w:val="3"/>
  </w:num>
  <w:num w16cid:durableId="432674944" w:numId="10">
    <w:abstractNumId w:val="11"/>
  </w:num>
  <w:num w16cid:durableId="1136752633" w:numId="11">
    <w:abstractNumId w:val="5"/>
  </w:num>
  <w:num w16cid:durableId="1048647118" w:numId="12">
    <w:abstractNumId w:val="5"/>
  </w:num>
  <w:num w16cid:durableId="1684434326" w:numId="13">
    <w:abstractNumId w:val="14"/>
  </w:num>
  <w:num w16cid:durableId="1262028696" w:numId="14">
    <w:abstractNumId w:val="13"/>
  </w:num>
  <w:num w16cid:durableId="334384034" w:numId="15">
    <w:abstractNumId w:val="10"/>
  </w:num>
  <w:num w16cid:durableId="298146093" w:numId="16">
    <w:abstractNumId w:val="12"/>
  </w:num>
  <w:num w16cid:durableId="963657915" w:numId="17">
    <w:abstractNumId w:val="17"/>
  </w:num>
  <w:num w16cid:durableId="1972518006" w:numId="18">
    <w:abstractNumId w:val="8"/>
  </w:num>
  <w:num w16cid:durableId="1046223520" w:numId="19">
    <w:abstractNumId w:val="6"/>
  </w:num>
  <w:num w16cid:durableId="1033730921" w:numId="20">
    <w:abstractNumId w:val="0"/>
  </w:num>
  <w:num w16cid:durableId="513765581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919058" w:numId="22">
    <w:abstractNumId w:val="1"/>
  </w:num>
  <w:num w16cid:durableId="1898542278" w:numId="23">
    <w:abstractNumId w:val="1"/>
  </w:num>
  <w:num w16cid:durableId="645816810"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8821978" w:numId="25">
    <w:abstractNumId w:val="1"/>
  </w:num>
  <w:num w16cid:durableId="1739353886" w:numId="26">
    <w:abstractNumId w:val="1"/>
  </w:num>
  <w:num w16cid:durableId="441456053" w:numId="27">
    <w:abstractNumId w:val="1"/>
  </w:num>
  <w:num w16cid:durableId="27873969"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25011297" w:numId="29">
    <w:abstractNumId w:val="1"/>
  </w:num>
  <w:num w16cid:durableId="1347706573" w:numId="30">
    <w:abstractNumId w:val="1"/>
  </w:num>
  <w:num w16cid:durableId="1480729283" w:numId="31">
    <w:abstractNumId w:val="1"/>
  </w:num>
  <w:num w16cid:durableId="1055398814"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90168086" w:numId="33">
    <w:abstractNumId w:val="1"/>
  </w:num>
  <w:num w16cid:durableId="836385918" w:numId="34">
    <w:abstractNumId w:val="1"/>
  </w:num>
  <w:num w16cid:durableId="125620635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5254079" w:numId="36">
    <w:abstractNumId w:val="1"/>
  </w:num>
  <w:num w16cid:durableId="884100380" w:numId="37">
    <w:abstractNumId w:val="1"/>
  </w:num>
  <w:num w16cid:durableId="286087716" w:numId="38">
    <w:abstractNumId w:val="1"/>
  </w:num>
  <w:num w16cid:durableId="1113397533" w:numId="39">
    <w:abstractNumId w:val="1"/>
  </w:num>
  <w:num w16cid:durableId="1177114359" w:numId="40">
    <w:abstractNumId w:val="0"/>
  </w:num>
  <w:num w16cid:durableId="1950161660"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99586962" w:numId="42">
    <w:abstractNumId w:val="1"/>
  </w:num>
  <w:num w16cid:durableId="1686978881" w:numId="43">
    <w:abstractNumId w:val="1"/>
  </w:num>
  <w:num w16cid:durableId="1606690879"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42489" w:numId="45">
    <w:abstractNumId w:val="1"/>
  </w:num>
  <w:num w16cid:durableId="1842038432" w:numId="46">
    <w:abstractNumId w:val="1"/>
  </w:num>
  <w:num w16cid:durableId="1454865716" w:numId="47">
    <w:abstractNumId w:val="1"/>
  </w:num>
  <w:num w16cid:durableId="1004823546"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2648406" w:numId="49">
    <w:abstractNumId w:val="1"/>
  </w:num>
  <w:num w16cid:durableId="1250501655" w:numId="50">
    <w:abstractNumId w:val="1"/>
  </w:num>
  <w:num w16cid:durableId="1954169715" w:numId="51">
    <w:abstractNumId w:val="1"/>
  </w:num>
  <w:num w16cid:durableId="179585081"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55376182" w:numId="53">
    <w:abstractNumId w:val="1"/>
  </w:num>
  <w:num w16cid:durableId="638917216" w:numId="54">
    <w:abstractNumId w:val="1"/>
  </w:num>
  <w:num w16cid:durableId="1723794202"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5686022" w:numId="56">
    <w:abstractNumId w:val="1"/>
  </w:num>
  <w:num w16cid:durableId="1939634124" w:numId="57">
    <w:abstractNumId w:val="1"/>
  </w:num>
  <w:num w16cid:durableId="1032078336" w:numId="58">
    <w:abstractNumId w:val="1"/>
  </w:num>
  <w:num w16cid:durableId="1522040580" w:numId="59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Heading1" w:type="paragraph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styleId="Heading2" w:type="paragraph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after="567" w:before="851" w:line="36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Heading3" w:type="paragraph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after="567" w:before="851" w:line="360" w:lineRule="auto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814A6"/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B25006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Title" w:type="paragraph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customStyle="1" w:styleId="TitleChar" w:type="character">
    <w:name w:val="Title Char"/>
    <w:aliases w:val="Заголовок3 Char"/>
    <w:basedOn w:val="DefaultParagraphFont"/>
    <w:link w:val="Title"/>
    <w:uiPriority w:val="10"/>
    <w:rsid w:val="00BF7127"/>
    <w:rPr>
      <w:rFonts w:ascii="Times New Roman" w:cstheme="majorBidi" w:eastAsiaTheme="majorEastAsia" w:hAnsi="Times New Roman"/>
      <w:b/>
      <w:color w:themeColor="text1" w:val="000000"/>
      <w:spacing w:val="-10"/>
      <w:kern w:val="28"/>
      <w:sz w:val="28"/>
      <w:szCs w:val="56"/>
    </w:rPr>
  </w:style>
  <w:style w:customStyle="1" w:styleId="Heading3Char" w:type="character">
    <w:name w:val="Heading 3 Char"/>
    <w:basedOn w:val="DefaultParagraphFont"/>
    <w:link w:val="Heading3"/>
    <w:uiPriority w:val="9"/>
    <w:rsid w:val="001814A6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Content" w:type="paragraph">
    <w:name w:val="Content"/>
    <w:next w:val="Normal"/>
    <w:link w:val="ContentChar"/>
    <w:qFormat/>
    <w:rsid w:val="001C6AB8"/>
    <w:pPr>
      <w:tabs>
        <w:tab w:leader="dot" w:pos="9345" w:val="right"/>
      </w:tabs>
      <w:spacing w:after="0" w:line="360" w:lineRule="auto"/>
    </w:pPr>
    <w:rPr>
      <w:rFonts w:ascii="Times New Roman" w:cs="Times New Roman" w:hAnsi="Times New Roman"/>
      <w:noProof/>
      <w:sz w:val="28"/>
      <w:szCs w:val="28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after="0" w:before="240" w:line="259" w:lineRule="auto"/>
      <w:ind w:firstLine="709" w:left="0"/>
      <w:jc w:val="both"/>
      <w:outlineLvl w:val="9"/>
    </w:pPr>
    <w:rPr>
      <w:rFonts w:asciiTheme="majorHAnsi" w:hAnsiTheme="majorHAnsi"/>
      <w:b w:val="0"/>
      <w:caps w:val="0"/>
      <w:color w:themeColor="accent1" w:themeShade="BF" w:val="2F5496"/>
      <w:sz w:val="32"/>
      <w:lang w:eastAsia="ru-RU"/>
    </w:rPr>
  </w:style>
  <w:style w:customStyle="1" w:styleId="ContentChar" w:type="character">
    <w:name w:val="Content Char"/>
    <w:basedOn w:val="Heading1Char"/>
    <w:link w:val="Content"/>
    <w:rsid w:val="001C6AB8"/>
    <w:rPr>
      <w:rFonts w:ascii="Times New Roman" w:cs="Times New Roman" w:eastAsiaTheme="majorEastAsia" w:hAnsi="Times New Roman"/>
      <w:b w:val="0"/>
      <w:caps w:val="0"/>
      <w:noProof/>
      <w:color w:themeColor="text1" w:val="000000"/>
      <w:sz w:val="28"/>
      <w:szCs w:val="28"/>
    </w:rPr>
  </w:style>
  <w:style w:styleId="TOC1" w:type="paragraph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styleId="Hyperlink" w:type="character">
    <w:name w:val="Hyperlink"/>
    <w:basedOn w:val="DefaultParagraphFont"/>
    <w:uiPriority w:val="99"/>
    <w:unhideWhenUsed/>
    <w:rsid w:val="00A511B9"/>
    <w:rPr>
      <w:color w:themeColor="hyperlink" w:val="0563C1"/>
      <w:u w:val="single"/>
    </w:rPr>
  </w:style>
  <w:style w:customStyle="1" w:styleId="TOCHeading0" w:type="paragraph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ListParagraph" w:type="paragraph">
    <w:name w:val="List Paragraph"/>
    <w:basedOn w:val="Normal"/>
    <w:uiPriority w:val="34"/>
    <w:qFormat/>
    <w:rsid w:val="00396C9A"/>
    <w:pPr>
      <w:ind w:left="720"/>
      <w:contextualSpacing/>
    </w:pPr>
  </w:style>
  <w:style w:customStyle="1" w:styleId="TOCHeadingChar" w:type="character">
    <w:name w:val="TOC Heading Char"/>
    <w:basedOn w:val="Heading1Char"/>
    <w:link w:val="TOCHeading"/>
    <w:uiPriority w:val="39"/>
    <w:rsid w:val="001814A6"/>
    <w:rPr>
      <w:rFonts w:asciiTheme="majorHAnsi" w:cstheme="majorBidi" w:eastAsiaTheme="majorEastAsia" w:hAnsiTheme="majorHAnsi"/>
      <w:b w:val="0"/>
      <w:caps w:val="0"/>
      <w:color w:themeColor="accent1" w:themeShade="BF" w:val="2F5496"/>
      <w:sz w:val="32"/>
      <w:szCs w:val="32"/>
      <w:lang w:eastAsia="ru-RU"/>
    </w:rPr>
  </w:style>
  <w:style w:customStyle="1" w:styleId="TOCHeadingChar0" w:type="character">
    <w:name w:val="TOCHeading Char"/>
    <w:basedOn w:val="TOCHeadingChar"/>
    <w:link w:val="TOCHeading0"/>
    <w:rsid w:val="001C6AB8"/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Header" w:type="paragraph">
    <w:name w:val="header"/>
    <w:basedOn w:val="Normal"/>
    <w:link w:val="Head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1C6AB8"/>
    <w:rPr>
      <w:rFonts w:ascii="Times New Roman" w:cs="Times New Roman" w:hAnsi="Times New Roman"/>
      <w:sz w:val="28"/>
      <w:szCs w:val="28"/>
    </w:rPr>
  </w:style>
  <w:style w:styleId="Footer" w:type="paragraph">
    <w:name w:val="footer"/>
    <w:basedOn w:val="Normal"/>
    <w:link w:val="Foot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1C6AB8"/>
    <w:rPr>
      <w:rFonts w:ascii="Times New Roman" w:cs="Times New Roman" w:hAnsi="Times New Roman"/>
      <w:sz w:val="28"/>
      <w:szCs w:val="28"/>
    </w:rPr>
  </w:style>
  <w:style w:styleId="TableGrid" w:type="table">
    <w:name w:val="Table Grid"/>
    <w:basedOn w:val="TableNormal"/>
    <w:uiPriority w:val="39"/>
    <w:rsid w:val="001C6A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ame" w:type="paragraph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customStyle="1" w:styleId="Table" w:type="paragraph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customStyle="1" w:styleId="TablenameChar" w:type="character">
    <w:name w:val="Table name Char"/>
    <w:basedOn w:val="DefaultParagraphFont"/>
    <w:link w:val="Tablename"/>
    <w:rsid w:val="004C769D"/>
    <w:rPr>
      <w:rFonts w:ascii="Times New Roman" w:cs="Times New Roman" w:hAnsi="Times New Roman"/>
      <w:i/>
      <w:iCs/>
      <w:sz w:val="24"/>
      <w:szCs w:val="24"/>
    </w:rPr>
  </w:style>
  <w:style w:customStyle="1" w:styleId="Picturename" w:type="paragraph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customStyle="1" w:styleId="TableChar" w:type="character">
    <w:name w:val="Table Char"/>
    <w:basedOn w:val="DefaultParagraphFont"/>
    <w:link w:val="Table"/>
    <w:rsid w:val="00BE4672"/>
    <w:rPr>
      <w:rFonts w:ascii="Times New Roman" w:cs="Times New Roman" w:hAnsi="Times New Roman"/>
      <w:sz w:val="24"/>
      <w:szCs w:val="24"/>
    </w:rPr>
  </w:style>
  <w:style w:customStyle="1" w:styleId="PicturenameChar" w:type="character">
    <w:name w:val="Picture name Char"/>
    <w:basedOn w:val="DefaultParagraphFont"/>
    <w:link w:val="Picturename"/>
    <w:rsid w:val="00184355"/>
    <w:rPr>
      <w:rFonts w:ascii="Times New Roman" w:cs="Times New Roman" w:hAnsi="Times New Roman"/>
      <w:b/>
      <w:bCs/>
      <w:sz w:val="24"/>
      <w:szCs w:val="24"/>
    </w:rPr>
  </w:style>
  <w:style w:customStyle="1" w:styleId="Listing" w:type="paragraph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customStyle="1" w:styleId="ListingChar" w:type="character">
    <w:name w:val="Listing Char"/>
    <w:basedOn w:val="TablenameChar"/>
    <w:link w:val="Listing"/>
    <w:rsid w:val="005D2A56"/>
    <w:rPr>
      <w:rFonts w:ascii="Times New Roman" w:cs="Times New Roman" w:hAnsi="Times New Roman"/>
      <w:i/>
      <w:iCs/>
      <w:sz w:val="24"/>
      <w:szCs w:val="24"/>
    </w:rPr>
  </w:style>
  <w:style w:styleId="NoSpacing" w:type="paragraph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customStyle="1" w:styleId="Code" w:type="paragraph">
    <w:name w:val="Code"/>
    <w:basedOn w:val="NoSpacing"/>
    <w:link w:val="CodeChar"/>
    <w:autoRedefine/>
    <w:qFormat/>
    <w:rsid w:val="004F4796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ind w:firstLine="0"/>
      <w:jc w:val="left"/>
    </w:pPr>
    <w:rPr>
      <w:rFonts w:ascii="Courier New" w:cs="Courier New" w:hAnsi="Courier New"/>
      <w:sz w:val="24"/>
      <w:szCs w:val="24"/>
      <w:lang w:val="ru-RU"/>
    </w:rPr>
  </w:style>
  <w:style w:customStyle="1" w:styleId="NoSpacingChar" w:type="characte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customStyle="1" w:styleId="CodeChar" w:type="character">
    <w:name w:val="Code Char"/>
    <w:basedOn w:val="NoSpacingChar"/>
    <w:link w:val="Code"/>
    <w:rsid w:val="004F4796"/>
    <w:rPr>
      <w:rFonts w:ascii="Courier New" w:cs="Courier New" w:eastAsiaTheme="minorEastAsia" w:hAnsi="Courier New"/>
      <w:sz w:val="24"/>
      <w:szCs w:val="24"/>
      <w:lang w:eastAsia="ru-RU" w:val="ru-RU"/>
    </w:rPr>
  </w:style>
  <w:style w:customStyle="1" w:styleId="Picture" w:type="paragraph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customStyle="1" w:styleId="PictureChar" w:type="character">
    <w:name w:val="Picture Char"/>
    <w:basedOn w:val="DefaultParagraphFont"/>
    <w:link w:val="Picture"/>
    <w:rsid w:val="00184355"/>
    <w:rPr>
      <w:rFonts w:ascii="Times New Roman" w:cs="Times New Roman" w:hAnsi="Times New Roman"/>
      <w:sz w:val="28"/>
      <w:szCs w:val="28"/>
    </w:rPr>
  </w:style>
  <w:style w:customStyle="1" w:styleId="a" w:type="paragraph">
    <w:name w:val="a"/>
  </w:style>
  <w:style w:customStyle="1" w:styleId="a0" w:type="paragraph">
    <w:name w:val="a0"/>
  </w:style>
  <w:style w:customStyle="1" w:styleId="a1" w:type="paragraph">
    <w:name w:val="a1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FollowedHyperlink" w:type="character">
    <w:name w:val="FollowedHyperlink"/>
    <w:basedOn w:val="DefaultParagraphFont"/>
    <w:uiPriority w:val="99"/>
    <w:semiHidden/>
    <w:unhideWhenUsed/>
    <w:rsid w:val="00C8733A"/>
    <w:rPr>
      <w:color w:themeColor="followedHyperlink" w:val="954F72"/>
      <w:u w:val="single"/>
    </w:rPr>
  </w:style>
  <w:style w:customStyle="1" w:styleId="Contentword" w:type="character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4</dc:title>
  <dc:creator>[ФИО студента]</dc:creator>
  <dc:language>ru-RU</dc:language>
  <cp:keywords/>
  <dcterms:created xsi:type="dcterms:W3CDTF">2025-11-02T12:02:26Z</dcterms:created>
  <dcterms:modified xsi:type="dcterms:W3CDTF">2025-11-02T12:02:26Z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02.11.2025</vt:lpwstr>
  </property>
  <property fmtid="{D5CDD505-2E9C-101B-9397-08002B2CF9AE}" pid="3" name="subtitle">
    <vt:lpwstr>Функциональное проектирование модели информационной системы с использованием методологии SADT</vt:lpwstr>
  </property>
</Properties>
</file>