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160" w:lineRule="auto"/>
        <w:rPr>
          <w:rFonts w:ascii="Play" w:cs="Play" w:eastAsia="Play" w:hAnsi="Play"/>
          <w:color w:val="0f4761"/>
          <w:sz w:val="34"/>
          <w:szCs w:val="34"/>
        </w:rPr>
      </w:pPr>
      <w:bookmarkStart w:colFirst="0" w:colLast="0" w:name="_heading=h.nmzf7drg0otr" w:id="0"/>
      <w:bookmarkEnd w:id="0"/>
      <w:r w:rsidDel="00000000" w:rsidR="00000000" w:rsidRPr="00000000">
        <w:rPr>
          <w:rFonts w:ascii="Play" w:cs="Play" w:eastAsia="Play" w:hAnsi="Play"/>
          <w:color w:val="0f4761"/>
          <w:sz w:val="34"/>
          <w:szCs w:val="34"/>
          <w:rtl w:val="0"/>
        </w:rPr>
        <w:t xml:space="preserve">1b.i: Detailed List (Technical, Rephrased)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bqjfn81yzdvl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1. Task Sequencing and Concurrency in π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policy π mandates the complementary sequencing of t1​ (Scouting) and t3​ (Grapevine ID) tasks by w1​ and w2​, optimizing path traversal cost. Concurrent execution is prioritized for the spatially distributed t2​ (Soil Analysis) tasks, which are partitioned between r1​ and r2​ to maximize system throughput. The task dependencies ensure t1​ completion is not a prerequisite for t2​.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nu79a5g3tw5s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2. The Non-Dominated Set P in Bi-Objective Space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Arial" w:cs="Arial" w:eastAsia="Arial" w:hAnsi="Arial"/>
        </w:rPr>
      </w:pPr>
      <w:sdt>
        <w:sdtPr>
          <w:id w:val="-196560423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The Pareto Front P rigorously identifies the set of Pareto-optimal policies for the constrained bi-objective problem min(E[C]),max(P(π)). A solution πi​ belongs to P if no alternative policy πj​ exists that is superior in both reliability and cost (P(πj​)≥P(πi​) and E[Cj​]≤E[Ci​], with one strict).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g0wlwshj1orh" w:id="3"/>
      <w:bookmarkEnd w:id="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3. Selection of the Constraint-Satisfying πopt​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Arial" w:cs="Arial" w:eastAsia="Arial" w:hAnsi="Arial"/>
        </w:rPr>
      </w:pPr>
      <w:sdt>
        <w:sdtPr>
          <w:id w:val="177002583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To satisfy the constraint P(π)≥0.91, the selected non-dominated policy is </w:t>
          </w:r>
        </w:sdtContent>
      </w:sdt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Solution ID 15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System Reliability R(G):</w:t>
      </w:r>
      <w:r w:rsidDel="00000000" w:rsidR="00000000" w:rsidRPr="00000000">
        <w:rPr>
          <w:rFonts w:ascii="Arial" w:cs="Arial" w:eastAsia="Arial" w:hAnsi="Arial"/>
          <w:rtl w:val="0"/>
        </w:rPr>
        <w:t xml:space="preserve"> 0.916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Expected Resource Expenditure E[C]:</w:t>
      </w:r>
      <w:r w:rsidDel="00000000" w:rsidR="00000000" w:rsidRPr="00000000">
        <w:rPr>
          <w:rFonts w:ascii="Arial" w:cs="Arial" w:eastAsia="Arial" w:hAnsi="Arial"/>
          <w:rtl w:val="0"/>
        </w:rPr>
        <w:t xml:space="preserve"> 37.10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Fault Tolerance Allocation: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local retry budget Nmax​(ti​) is strategically maximized for the highest-uncertainty tasks: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t2​l5 and t2​l9 instances, executed by r1​ and r2​, utilize Nmax​=9 and Nmax​=8 re-executions, respectively.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t1​l4 instance by w2​ is assigned Nmax​=3 re-executions.</w:t>
      </w:r>
    </w:p>
    <w:p w:rsidR="00000000" w:rsidDel="00000000" w:rsidP="00000000" w:rsidRDefault="00000000" w:rsidRPr="00000000" w14:paraId="0000000D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Arial Unicode MS"/>
  <w:font w:name="Play">
    <w:embedRegular w:fontKey="{00000000-0000-0000-0000-000000000000}" r:id="rId1" w:subsetted="0"/>
    <w:embedBold w:fontKey="{00000000-0000-0000-0000-000000000000}" r:id="rId2" w:subsetted="0"/>
  </w:font>
  <w:font w:name="Arim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Arimo-regular.ttf"/><Relationship Id="rId4" Type="http://schemas.openxmlformats.org/officeDocument/2006/relationships/font" Target="fonts/Arimo-bold.ttf"/><Relationship Id="rId5" Type="http://schemas.openxmlformats.org/officeDocument/2006/relationships/font" Target="fonts/Arimo-italic.ttf"/><Relationship Id="rId6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p++4VzEoFZVkg6nn09W7losN6A==">CgMxLjAaJAoBMBIfCh0IB0IZCgVBcmltbxIQQXJpYWwgVW5pY29kZSBNUxokCgExEh8KHQgHQhkKBUFyaW1vEhBBcmlhbCBVbmljb2RlIE1TMg5oLm5temY3ZHJnMG90cjIOaC5icWpmbjgxeXpkdmwyDmgubnU3OWE1ZzN0dzVzMg5oLmcwd2x3c2hqMW9yaDgAciExcWl5WFE0bjZlbmtQcTVQUzFScHVKcU1VYUdsbFlYRUw=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