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nuz7bnvwsvyd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1b.ii: Detailed Paragraph (Technical, Rephrased)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generated policy π allocates t1​ and t3​ tasks to w1​ and w2​ in path-optimized sequences, exploiting the low movement cost structure. Concurrently, r1​ and r2​ perform a parallelized spatial decomposition of the t2​ task set, minimizing the mission duration component. The optimality criterion relies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</w:t>
      </w:r>
      <w:sdt>
        <w:sdtPr>
          <w:id w:val="87574985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which is the boundary in the performance space (P(π),E[C]) defining the set of maximally efficient policies. This front rigorously defines the trade-off. Enforcing the mission constraint P(π)≥0.91 results in the selection of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policy achieves a system reliability of P(π)=0.916 with an expected cost E[C]=37.10. The high reliability value is maintained by prioritizing the local fault tolerance budget Nmax​(ti​) on the most failure-prone t2​ tasks, specifically allocating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 to the t2​l5 and t2​l9 instances, respectively, alongside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 for the t1​l4 instance.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W6UIrrvLxP+xUAJ/gjvJKc5eg==">CgMxLjAaJAoBMBIfCh0IB0IZCgVBcmltbxIQQXJpYWwgVW5pY29kZSBNUzIOaC5udXo3Ym52d3N2eWQ4AHIhMWpMWTBUaFZTcWNYWWlDQ1AzaXVfTE1hQU0zQnB4RmRj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