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e2le5wc0iv40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1b.iii: Detailed Bullet Points (Technical, Rephrased)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Policy π Structure:</w:t>
      </w:r>
      <w:r w:rsidDel="00000000" w:rsidR="00000000" w:rsidRPr="00000000">
        <w:rPr>
          <w:rFonts w:ascii="Arial" w:cs="Arial" w:eastAsia="Arial" w:hAnsi="Arial"/>
          <w:rtl w:val="0"/>
        </w:rPr>
        <w:t xml:space="preserve"> w1​,w2​ execute t1​/t3​ tasks sequentially. r1​,r2​ execute t2​ tasks concurrently across partitioned spatial regions.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Optimization P: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non-dominated set in the performance space, defining the optimal boundary for E[C] versus P(π).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sdt>
        <w:sdtPr>
          <w:id w:val="141460048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Optimal Policy πopt​ for P(π)≥0.91 (Solution 15):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Reliability P(π):</w:t>
      </w:r>
      <w:r w:rsidDel="00000000" w:rsidR="00000000" w:rsidRPr="00000000">
        <w:rPr>
          <w:rFonts w:ascii="Arial" w:cs="Arial" w:eastAsia="Arial" w:hAnsi="Arial"/>
          <w:rtl w:val="0"/>
        </w:rPr>
        <w:t xml:space="preserve"> 0.916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E[C]: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Fault Tolerance Nmax​(ti​):</w:t>
      </w:r>
      <w:r w:rsidDel="00000000" w:rsidR="00000000" w:rsidRPr="00000000">
        <w:rPr>
          <w:rFonts w:ascii="Arial" w:cs="Arial" w:eastAsia="Arial" w:hAnsi="Arial"/>
          <w:rtl w:val="0"/>
        </w:rPr>
        <w:t xml:space="preserve"> t2​ tasks are prioritized: t2​l5 (Nmax​=9), t2​l9 (Nmax​=8), and t2​l8b (Nmax​=5).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FxmMXFhwTUnHoOIkpBQAQ0Jug==">CgMxLjAaJAoBMBIfCh0IB0IZCgVBcmltbxIQQXJpYWwgVW5pY29kZSBNUzIOaC5lMmxlNXdjMGl2NDA4AHIhMXM3Sno0YkVQcjJLdFBvNDNSZXBfRV9NRlc3LVR1aFpG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