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160" w:lineRule="auto"/>
        <w:rPr>
          <w:rFonts w:ascii="Play" w:cs="Play" w:eastAsia="Play" w:hAnsi="Play"/>
          <w:color w:val="0f4761"/>
          <w:sz w:val="34"/>
          <w:szCs w:val="34"/>
        </w:rPr>
      </w:pPr>
      <w:bookmarkStart w:colFirst="0" w:colLast="0" w:name="_heading=h.i1rfe0i4nzjp" w:id="0"/>
      <w:bookmarkEnd w:id="0"/>
      <w:r w:rsidDel="00000000" w:rsidR="00000000" w:rsidRPr="00000000">
        <w:rPr>
          <w:rFonts w:ascii="Play" w:cs="Play" w:eastAsia="Play" w:hAnsi="Play"/>
          <w:color w:val="0f4761"/>
          <w:sz w:val="34"/>
          <w:szCs w:val="34"/>
          <w:rtl w:val="0"/>
        </w:rPr>
        <w:t xml:space="preserve">2a.ii: Concise Paragraph (Technical, Structured)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The derived policy π allocates t1​ and t3​ tasks to w1​ and w2​ in sequential, path-optimized order, while r1​ and r2​ execute the entire set of t2​ tasks concurrently via spatial partitioning, maximizing system throughput. The analysis relies on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Pareto Front P</w:t>
      </w:r>
      <w:sdt>
        <w:sdtPr>
          <w:id w:val="1897384066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, the non-dominated set defining the optimal trade-off boundary between maximizing P(π) and minimizing E[C]. Selecting the policy that satisfies the P(π)≥0.91 constraint yields </w:t>
          </w:r>
        </w:sdtContent>
      </w:sdt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Solution ID 15</w:t>
      </w:r>
      <w:r w:rsidDel="00000000" w:rsidR="00000000" w:rsidRPr="00000000">
        <w:rPr>
          <w:rFonts w:ascii="Arial" w:cs="Arial" w:eastAsia="Arial" w:hAnsi="Arial"/>
          <w:rtl w:val="0"/>
        </w:rPr>
        <w:t xml:space="preserve">, which achieves P(π)=0.916 for E[C]=37.10. This reliability is maintained by optimally weighting the local fault tolerance Nmax​(ti​), prioritizing the high-risk t2​ tasks with significant re-execution budgets (up to Nmax​=9).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  <w:font w:name="Play">
    <w:embedRegular w:fontKey="{00000000-0000-0000-0000-000000000000}" r:id="rId1" w:subsetted="0"/>
    <w:embedBold w:fontKey="{00000000-0000-0000-0000-000000000000}" r:id="rId2" w:subsetted="0"/>
  </w:font>
  <w:font w:name="Arim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Arimo-regular.ttf"/><Relationship Id="rId4" Type="http://schemas.openxmlformats.org/officeDocument/2006/relationships/font" Target="fonts/Arimo-bold.ttf"/><Relationship Id="rId5" Type="http://schemas.openxmlformats.org/officeDocument/2006/relationships/font" Target="fonts/Arimo-italic.ttf"/><Relationship Id="rId6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BfYL61/hYk1WTaWghtnkUugXbg==">CgMxLjAaJAoBMBIfCh0IB0IZCgVBcmltbxIQQXJpYWwgVW5pY29kZSBNUzIOaC5pMXJmZTBpNG56anA4AHIhMS1OcXI3SVMtOTQ3Q084Vk9wRGtEbkk3cG9nc2tXcDhQ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