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88ephirva6h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2b.ii: Concise Paragraph (Technical, Rephrased)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policy π mandates sequential, path-optimized execution of t1​/t3​ tasks by w1​ and w2​, while r1​ and r2​ execute a concurrent, spatially partitioned decomposition of the t2​ task set. The solution was selected from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P</w:t>
      </w:r>
      <w:sdt>
        <w:sdtPr>
          <w:id w:val="213367380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 the non-dominated set representing the optimal boundary for P(π) versus E[C]. Enforcing the constraint P(π)≥0.91 yields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achieves P(π)=0.916 at E[C]=37.10. This reliability is maintained by prioritizing the local fault tolerance Nmax​(ti​), specifically assigning high retry budgets (up to Nmax​=9) to the most critical and failure-prone t2​ instances.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QOtLcLl39/C4uPnmlworv0Kl7w==">CgMxLjAaJAoBMBIfCh0IB0IZCgVBcmltbxIQQXJpYWwgVW5pY29kZSBNUzINaC44OGVwaGlydmE2aDgAciExWTJDTjRMdlkzdjdWRC05eVFaZ1FPak5mSjZfejg0SUk=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