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zh0046phrfu6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2b.iii: Concise Bullet Points (Technical, Rephrased)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Policy π Structure: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w1​,w2​: Sequential t1​/t3​. r1​,r2​: Concurrent t2​.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P:</w:t>
      </w:r>
      <w:r w:rsidDel="00000000" w:rsidR="00000000" w:rsidRPr="00000000">
        <w:rPr>
          <w:rFonts w:ascii="Arial" w:cs="Arial" w:eastAsia="Arial" w:hAnsi="Arial"/>
          <w:rtl w:val="0"/>
        </w:rPr>
        <w:t xml:space="preserve"> Non-dominated set for the bi-criteria optimization min(E[C]),max(P(π)).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sdt>
        <w:sdtPr>
          <w:id w:val="-185130563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Policy πopt​ for P(π)≥0.91 (Solution 15):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P(π)=0.916.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E[C]=37.10.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Fault Tolerance: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t2​ tasks are prioritized: Nmax​(t2​l5)=9; Nmax​(t2​l9)=8.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nf+nt385Gb+JJ/1RYeQTbPDKMg==">CgMxLjAaJAoBMBIfCh0IB0IZCgVBcmltbxIQQXJpYWwgVW5pY29kZSBNUzIOaC56aDAwNDZwaHJmdTY4AHIhMTQzejl0aGJ0YnIyTmhST3RFSGlOVkdDMkU3Qy1nQWR3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