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6a345oabl1t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1aii. Domain Expert Response (Long, Casual, Conversational, Simple, Single Coherent Paragraph)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I'm pleased to share the plan our system developed for the agriculture mission, which aims for maximum success with a minimal cost. The work is split between our human expert,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the robot,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 is assigned all the heavy fieldwork: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 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, following a specific route from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 through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ending 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. Meanwhile,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</w:t>
      </w:r>
      <w:r w:rsidDel="00000000" w:rsidR="00000000" w:rsidRPr="00000000">
        <w:rPr>
          <w:rFonts w:ascii="Arial" w:cs="Arial" w:eastAsia="Arial" w:hAnsi="Arial"/>
          <w:rtl w:val="0"/>
        </w:rPr>
        <w:t xml:space="preserve"> handles all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locations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 along a quicker, inner route. The system provides a set of optimal plans, called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represents the perfect balance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Mission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. Our top recommendation is the most reliable one (Solution 1), which guarantees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100%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high confidence is achieved by strategically allocating extra attempts, 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, to tasks that are more likely to fail; for example, the riskier robot Observation task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) is given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maximum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is much higher than the reliable human Harvesting task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) that only requires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as a safety margin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bnZTVQyN77/DiwsmwMHrlANWZQ==">CgMxLjAyDmguNmEzNDVvYWJsMXRzOAByITEzai1JZU9iaEpwWGx3d0pwSFh6bkozc0REaVNPeFY2WQ==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