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5ffmhm0q14q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1aiii. Domain Expert Response (Long, Casual, Conversational, Simple, Step-by-step List)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Let me walk you through the comprehensive plan and the best solution for our fieldwork, keeping everything simple and straightforward: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Agent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are using two agents.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, our human expert, will start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cover the main blocks: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They are responsible for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 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 Our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</w:t>
      </w:r>
      <w:r w:rsidDel="00000000" w:rsidR="00000000" w:rsidRPr="00000000">
        <w:rPr>
          <w:rFonts w:ascii="Arial" w:cs="Arial" w:eastAsia="Arial" w:hAnsi="Arial"/>
          <w:rtl w:val="0"/>
        </w:rPr>
        <w:t xml:space="preserve"> takes a shorter, inner route through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focusing only on the data-gathering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the Pareto Front?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is the system's way of showing us all the absolute best possible plans. It plots the trade-off between the two things we care about most: getting the job done perfectly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keeping the budget tight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). Any plan on this front is optimal—you can't find a cheaper plan that is just as successful, and you can't find a more successful plan that is just as cheap.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Best Solution (Solution 1):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we recommend offers the highest guarantee of completion. It achieves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total budget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Success is Guaranteed (Retries):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is smart because it knows which tasks are risky. It assigns extra attempts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maximum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) where needed. The robot tasks, like Observation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less reliable, so they get a high safety net of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human tasks, like Harvesting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very reliable, so they only need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minimal backup.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BzzFRnJf2u3w7wabgJ6SjM7tQ==">CgMxLjAyDmguaTVmZm1obTBxMTRxOAByITFnMjRtaVc3QzdEUGw1ejlPQy1KYlo4cC1jMzkxbXFVdQ==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