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1440" w:hanging="36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idgupwwaqv3v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1bi. Domain Expert Response (Long, Technical, Formal, Precise, Step-by-step List)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output of the automated planning system defines an optimal multi-agent execution strategy, detailed as follows: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Agent Assignment: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is executed by Agents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worker2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worker2</w:t>
      </w:r>
      <w:r w:rsidDel="00000000" w:rsidR="00000000" w:rsidRPr="00000000">
        <w:rPr>
          <w:rFonts w:ascii="Arial" w:cs="Arial" w:eastAsia="Arial" w:hAnsi="Arial"/>
          <w:rtl w:val="0"/>
        </w:rPr>
        <w:t xml:space="preserve"> is assigned all instances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, traversing the field via the sequence of locations: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 is exclusively assigned all instances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at locations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, moving via the sequence: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Definition: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Pareto front represents the set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non-dominated solutions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derived from the bi-objective optimization problem. This boundary establishes the maximal achievable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Mission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any given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thereby defining the efficient frontier of optimal performance trade-offs.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Optimal Solution Specification (Solution ID 1):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selected optimal solution maximizes reliability, yielding an overall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Probability of Success of 1.0</w:t>
      </w:r>
      <w:r w:rsidDel="00000000" w:rsidR="00000000" w:rsidRPr="00000000">
        <w:rPr>
          <w:rFonts w:ascii="Arial" w:cs="Arial" w:eastAsia="Arial" w:hAnsi="Arial"/>
          <w:rtl w:val="0"/>
        </w:rPr>
        <w:t xml:space="preserve"> at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Retry Allocation Strategy: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utilizes task-specific maximum retries to ensure mission success. The lower-reliability robot Observation tasks,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, are allocated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maximum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mitigate mechanical or communication failure risks. In contrast, the high-reliability human Harvesting tasks,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, are allocated a minimal safety margin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jE21pJ2n8TBJx3iBkY43zBs9lg==">CgMxLjAyDmguaWRndXB3d2FxdjN2OAByITFXVDZEc2VRVHZ6aktwUERzVjlWNG8teTZIV0M5NnNRRg==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