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1440" w:hanging="36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5y8agk2squ6m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2ai. Domain Expert Response (Short, Technical, Formal, Precise, Step-by-step List)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automated planning system has produced a robust, multi-agent plan and a set of optimal solutions, detailed as follows: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Agent Task Distribution: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Agent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worker2</w:t>
      </w:r>
      <w:r w:rsidDel="00000000" w:rsidR="00000000" w:rsidRPr="00000000">
        <w:rPr>
          <w:rFonts w:ascii="Arial" w:cs="Arial" w:eastAsia="Arial" w:hAnsi="Arial"/>
          <w:rtl w:val="0"/>
        </w:rPr>
        <w:t xml:space="preserve"> (Human Worker) executes a sequence of movements from initial location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finally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, responsible for 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 instances along this path. Agent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 (Robot) is assigned 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 instances at locations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, moving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Definition: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Pareto front represents the computed set of non-dominated solutions in the bi-objective optimization space. These solutions define the maximal achievable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Mission 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any given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thereby establishing the boundary of optimal performance trade-offs.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Optimal Solution Specification (Solution ID 1):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optimal solution with the highest success metric achieves an overall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Probability of Success of 1.0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a total calculated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of 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. Task retry allocations are strategic: robot Observation tasks,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, are allocated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maximum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mitigate mechanical risk, contrasting with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allocated to the high-reliability human Harvesting task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Hj4ZjBk6M02ztx7J2VWB9vdAQ==">CgMxLjAyDmguNXk4YWdrMnNxdTZtOAByITFtVmp6THRnd1dNcW12NnBBbmRPZ1pfbEdEbEc2MEFsQQ==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