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1440" w:hanging="36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p5zfetf2zptn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2aii. Domain Expert Response (Short, Technical, Formal, Precise, Single Coherent Paragraph)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planning system delivered a coordinated multi-agent plan and a Pareto front of optimal solutions. The plan delegates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worker2</w:t>
      </w:r>
      <w:r w:rsidDel="00000000" w:rsidR="00000000" w:rsidRPr="00000000">
        <w:rPr>
          <w:rFonts w:ascii="Arial" w:cs="Arial" w:eastAsia="Arial" w:hAnsi="Arial"/>
          <w:rtl w:val="0"/>
        </w:rPr>
        <w:t xml:space="preserve">, who traverses the environment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while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 are assigned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, who moves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Pareto front delineates the optimal trade-off curve between maximizing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Mission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minimizing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selected optimal solution (ID 1) achieves the maximum overall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Probability of Success of 1.0</w:t>
      </w:r>
      <w:r w:rsidDel="00000000" w:rsidR="00000000" w:rsidRPr="00000000">
        <w:rPr>
          <w:rFonts w:ascii="Arial" w:cs="Arial" w:eastAsia="Arial" w:hAnsi="Arial"/>
          <w:rtl w:val="0"/>
        </w:rPr>
        <w:t xml:space="preserve"> at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, allocating task-specific maximum retries, notably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robot's Observation task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mitigate its higher inherent failure probability, contrasting with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allocated to the high-reliability human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Harvesting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0jreM5NGluqfAjVOrWWOwkt/Ig==">CgMxLjAyDmgucDV6ZmV0ZjJ6cHRuOAByITFuYUEzUTFibDhCUVFwZUZfSDRhcVl4X3k1SUMyb1BIZw==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