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wo4awjkc0gho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2bi. Domain Expert Response (Short, Casual, Conversational, Simple, Step-by-step List)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 is a quick rundown of the plan and the best solution for our vineyard operations: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and Robot Routes: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Our human worker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) is assigned the big loop, going from the start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the main areas: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Their job is all the heavy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robot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) takes a shorter, side route: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Its focus is on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tasks, gathering data on crop health.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the "Best Choices" Mean (Pareto Front):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system gives us a list of "best-in-class" plans, called the Pareto front. Each plan is a perfect trade-off between two goals: being super successful at completing the work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versus keeping the expenses low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). You can't make one better without making the other worse.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Recommended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Our top plan (Solution ID 1) guarantees the work gets done with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total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To achieve this, it wisely allocates extra attempts (retries) to unreliable tasks. For example, the robot's Observation task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 is allowed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since robot systems can fail more often, while a reliable human task, like Harvesting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), only needs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 safety net.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GjoyT52JXhq93mTMiFAXJraM5g==">CgMxLjAyDmgud280YXdqa2MwZ2hvOAByITE3anY2WmVFM1NoZ1NGY1FBVEQyZDRDNEhWSWdUdDU2Yw==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