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wd3b8tiqkfhu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2bii. Domain Expert Response (Short, Casual, Conversational, Simple, Single Coherent Paragraph)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plan efficiently splits the work: our human worker,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, handles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along the main path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while the robot,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, manages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calculated "Pareto front" is simply the range of best possible plans, showing the perfect balance between mission reliability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total budget spent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rtl w:val="0"/>
        </w:rPr>
        <w:t xml:space="preserve">). Our recommended solution (ID 1) maximizes success, offering a full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100% 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total estimated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high success rate is secured by strategically allowing retries for each task; for instance, the riskier robot tasks, like Observation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, are given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whereas the highly reliable human Harvesting task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 is only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 minimal safety precaution.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GcqKDPXS2IAsZyVZf4EF46bGw==">CgMxLjAyDmgud2QzYjh0aXFrZmh1OAByITFFN1YwUFhwdGE0RTZrb2g1MnpFN2VTbF9LWU14VUZDSQ==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