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1440" w:hanging="36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tqv0johs61ip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2biii. Domain Expert Response (Short, Casual, Conversational, Simple, Bullet Points)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Here's the plan summary and the details of our best solution in a straightforward way: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Our Plan in a Nutshell: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human worker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) is doing all the heavy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Harvesting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, covering the vineyard blocks 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robot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rtl w:val="0"/>
        </w:rPr>
        <w:t xml:space="preserve">) is taking care of all the data-gathering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"Best Solutions" (Pareto Front):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is the list of all the best possible plans. They show the ideal trade-off between two things we care about: how sure we are that all the work will be finished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how much it will cost us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Recommended Choice:</w:t>
      </w:r>
      <w:r w:rsidDel="00000000" w:rsidR="00000000" w:rsidRPr="00000000">
        <w:rPr>
          <w:rFonts w:ascii="Arial" w:cs="Arial" w:eastAsia="Arial" w:hAnsi="Arial"/>
          <w:rtl w:val="0"/>
        </w:rPr>
        <w:t xml:space="preserve"> We're going with the most reliable plan (Solution ID 1). It gives us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100% chance of success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total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of $38.177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Why It Works (Retries):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plan builds in safety by giving each task a maximum number of re-dos (retries). The robot's riskier Observation tasks,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t2l8b</w:t>
      </w:r>
      <w:r w:rsidDel="00000000" w:rsidR="00000000" w:rsidRPr="00000000">
        <w:rPr>
          <w:rFonts w:ascii="Arial" w:cs="Arial" w:eastAsia="Arial" w:hAnsi="Arial"/>
          <w:rtl w:val="0"/>
        </w:rPr>
        <w:t xml:space="preserve">, get the most safety net, up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while a highly reliable human task, like Harvesting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t1l6b</w:t>
      </w:r>
      <w:r w:rsidDel="00000000" w:rsidR="00000000" w:rsidRPr="00000000">
        <w:rPr>
          <w:rFonts w:ascii="Arial" w:cs="Arial" w:eastAsia="Arial" w:hAnsi="Arial"/>
          <w:rtl w:val="0"/>
        </w:rPr>
        <w:t xml:space="preserve">), only needs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minor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uADhqfIlT1jJn3iOwst2/HYsXg==">CgMxLjAyDmgudHF2MGpvaHM2MWlwOAByITFLVEpkdGt6eXVjTGxOeXRvUlpKUWJ3SUx5MlJqdlpiQQ==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