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c14ro6vis51x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1a.ii: Detailed Paragraph (Friendly, Structured)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automated plan is a well-coordinated "choreography" for the team.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 is the main data collector, following a route through four key field sections (l4, l7, l9, l6) to perform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1</w:t>
      </w:r>
      <w:r w:rsidDel="00000000" w:rsidR="00000000" w:rsidRPr="00000000">
        <w:rPr>
          <w:rFonts w:ascii="Arial" w:cs="Arial" w:eastAsia="Arial" w:hAnsi="Arial"/>
          <w:rtl w:val="0"/>
        </w:rPr>
        <w:t xml:space="preserve"> follows a separate route (l2, l5, l8, l3, l6), focusing on the remaining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to ensure the whole vineyard is covered. Simultaneously,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1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2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 in parallel as our lab technicians, dividing up the crucial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across the entire grid. To choose the best overall plan, the system uses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Think of this as the "Perfect Deal" curve: it lists all the options that give us the best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lowest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, meaning we don't overspend on safety. To satisfy the mandatory requirement of at least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chance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 most cost-effective solution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plan guarantees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91.6% 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minimal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37.10 unit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high safety level is achieved by strategically giving the most critical tasks, like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jobs at l5 and l9, many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extra chances</w:t>
      </w:r>
      <w:r w:rsidDel="00000000" w:rsidR="00000000" w:rsidRPr="00000000">
        <w:rPr>
          <w:rFonts w:ascii="Arial" w:cs="Arial" w:eastAsia="Arial" w:hAnsi="Arial"/>
          <w:rtl w:val="0"/>
        </w:rPr>
        <w:t xml:space="preserve"> (9 and 8 retries) to succeed, while also providing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 attempts for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 task at l4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RiJVey34QPh6YHIoqib8l/FbA==">CgMxLjAyDmguYzE0cm82dmlzNTF4OAByITFabUUtbDBaZllxQnFsOGFGS0drM0E0Mk93TEU1OGg1QQ==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