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6q9402ublsed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2a.i: Concise List (Friendly, Structured)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li75glg3j40i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Plan Summary (Quick Look)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Workers 1 &amp; 2:</w:t>
      </w:r>
      <w:r w:rsidDel="00000000" w:rsidR="00000000" w:rsidRPr="00000000">
        <w:rPr>
          <w:rFonts w:ascii="Arial" w:cs="Arial" w:eastAsia="Arial" w:hAnsi="Arial"/>
          <w:rtl w:val="0"/>
        </w:rPr>
        <w:t xml:space="preserve"> Divide the field to complete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Robots r1 &amp;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 in parallel to complete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across the grid.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7z01sh7dpi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Pareto Front Explanation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the "Best Value Line." It plots the highest possible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we can get for the lowest possible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 It helps us find the most efficient plan.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a3u83tapuhgf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Optimal Solution (91% Goal)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cheapest plan to guarantee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91%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Safety Measure: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Two critical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(l5 and l9) receive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retries, and one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(l4) receives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oBxAzaUeNweEri7+VfFxxSXwA==">CgMxLjAyDmguNnE5NDAydWJsc2VkMg5oLmxpNzVnbGczajQwaTIOaC55N3owMXNoN2RwaWUyDmguYTN1ODN0YXB1aGdmOAByITFpekFub29IMFl5YVZRTUtuTTd5aktRR1V1LUZObUEtTQ==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