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fzq8os6utaoh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2a.ii: Concise Paragraph (Friendly, Structured)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 coordinates the team by having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 handle most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tasks, while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</w:t>
      </w:r>
      <w:r w:rsidDel="00000000" w:rsidR="00000000" w:rsidRPr="00000000">
        <w:rPr>
          <w:rFonts w:ascii="Arial" w:cs="Arial" w:eastAsia="Arial" w:hAnsi="Arial"/>
          <w:rtl w:val="0"/>
        </w:rPr>
        <w:t xml:space="preserve"> focuses on completing the remaining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in other areas. The two robots,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rtl w:val="0"/>
        </w:rPr>
        <w:t xml:space="preserve">, work together to complete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simultaneously across the field. To select the optimal strategy, the system identified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front shows the perfect trade-off between the project's overall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 To meet our minimum requirement of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, 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plan guarantees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91.6%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37.10 units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safety rating is secured by strategically giving the riskiest tasks, including two key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tasks, a large number of backup attempts (up to 9 retries).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FISng5eUlWYP1w4hjCNt9Wotw==">CgMxLjAyDmguZnpxOG9zNnV0YW9oOAByITFYMS1sbmtYOWZQV3FQSE5KRl9xYTJKdWJpNTF3LTVnZw==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