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7hqnsf57drtd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2b.ii: Concise Paragraph (Friendly, Simple)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 is simple: The two human workers divide the field to handle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tasks, using separate routes to be efficient. At the same time, the two robots work together on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across the grid. To decide on the final plan, we used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is just a list of the smartest choices: it shows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highest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we can get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least amount of money</w:t>
      </w:r>
      <w:r w:rsidDel="00000000" w:rsidR="00000000" w:rsidRPr="00000000">
        <w:rPr>
          <w:rFonts w:ascii="Arial" w:cs="Arial" w:eastAsia="Arial" w:hAnsi="Arial"/>
          <w:rtl w:val="0"/>
        </w:rPr>
        <w:t xml:space="preserve">. Because we must have at least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, we picked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plan is the cheapest way to get a safe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. We made it this safe by giving the most important tasks, like the 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jobs, 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(up to 9 chances) to ensure success.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LtfBVDU+j9LBipLg3B55reyRg==">CgMxLjAyDmguN2hxbnNmNTdkcnRkOAByITFLVDdMMW56QTlfMG84YmtYV0RKejBXWHdFcHJPbjJqZg==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