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1ai: Detailed List (Precise, Technical, Formal)</w:t>
      </w:r>
    </w:p>
    <w:p w:rsidR="00000000" w:rsidDel="00000000" w:rsidP="00000000" w:rsidRDefault="00000000" w:rsidRPr="00000000" w14:paraId="00000002">
      <w:pPr>
        <w:spacing w:before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 Execution Sequence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 (Human Electrician): Executes sequential Electrical installation (t2) tasks (ip2, then ip1) at location Room H. It then performs a state transition to Room D for Plumbing installation (t3_bza), and a final move to Room E for the second Plumbing installation (t3_bzb).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Initiates a movement action from Room B to Room F, where it executes its specialized Foundation preparation (t1_msa) task instance.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Initiates a movement action from Room C to Room G, where it executes its specialized Foundation preparation (t1_msb) task instance.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r3 (Robot 3 - Finishing Specialist): Commences the plan by executing Finishing work (t4_se1) at its initial location, Room J. It then transitions to Room I via Room G to execute the final Finishing work (t4_wcp1) task instance.</w:t>
      </w:r>
    </w:p>
    <w:p w:rsidR="00000000" w:rsidDel="00000000" w:rsidP="00000000" w:rsidRDefault="00000000" w:rsidRPr="00000000" w14:paraId="00000007">
      <w:pPr>
        <w:spacing w:before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Pareto Front Explanation</w:t>
      </w:r>
    </w:p>
    <w:p w:rsidR="00000000" w:rsidDel="00000000" w:rsidP="00000000" w:rsidRDefault="00000000" w:rsidRPr="00000000" w14:paraId="00000008">
      <w:pPr>
        <w:spacing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The Pareto front represents the set of non-dominated solutions in the Quality of Service (QoS) objective space. It delineates the optimal trade-off curve between the two competing objectives: maximizing Mission Success Probability and minimizing Total Cost. A solution on this front is Pareto efficient, meaning no improvement can be made to one objective (e.g., lower cost) without degrading the performance of the other objective (e.g., lower probability).</w:t>
      </w:r>
    </w:p>
    <w:p w:rsidR="00000000" w:rsidDel="00000000" w:rsidP="00000000" w:rsidRDefault="00000000" w:rsidRPr="00000000" w14:paraId="00000009">
      <w:pPr>
        <w:spacing w:before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Optimal Solution for Minimum P ≥ 0.92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optimal solution that satisfies the minimum mission probability constraint of 0.92 is Solution ID 7.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solution yields a Total Cost of 48.732 units and an overall Mission Success Probability of 0.921.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retries allocated to critical task instances are as follows: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t4_wcp1 (Finishing work) by r3: 5 retries (maximum allowed)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t1_msa (Foundation preparation) by r1: 3 retries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t1_msb (Foundation preparation) by r2: 3 retries</w:t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/eOh5/EsCPfXm14JLjhx9RS5+w==">CgMxLjA4AHIhMVRwbV92WUszU1U2dmVLcmNSOVpVTkhhc2xhSXlQdGE4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