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5wpanw3lbtk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1bi: Casual, Long, Step-by-step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Step-by-Step Plan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Electrician (h1):</w:t>
      </w:r>
      <w:r w:rsidDel="00000000" w:rsidR="00000000" w:rsidRPr="00000000">
        <w:rPr>
          <w:rFonts w:ascii="Arial" w:cs="Arial" w:eastAsia="Arial" w:hAnsi="Arial"/>
          <w:rtl w:val="0"/>
        </w:rPr>
        <w:t xml:space="preserve"> Starts by doing both Electrical Installation tasks (t2_ip2 and t2_ip1) in Room H. After that, they move to Room D for the first Plumbing task (t3_bza), then travel to Room E to finish up the second Plumbing task (t3_bzb).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1 (r1):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robot heads out from Room B and goes to Room F to get started on the Foundation preparation (t1_msa).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2 (r2):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takes the path from Room C over to Room G, where it performs its Foundation preparation job (t1_msb).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3 (r3):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robot finishes the first Finishing work (t4_se1) at Room J. It then travels to Room I to take care of the final piece of Finishing work (t4_wcp1).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Understanding the Pareto Front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Think of the Pareto front as the "Smartest Choices" list for our project. It shows all the plans where we've perfectly balanced two goals: keeping the project cost down and keeping the chance of success high.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pick any plan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list, you can't improve the success rate without spending more money, and you can't save money without lowering the chance of a successful outcome. It's the ideal balance between cost and safety.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64167590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The Best Solution for Success (Minimum Probability ≥0.90)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best plan that ensures at least a 0.90 overall success chance is the one that actually gives us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while keeping the cost lowest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hit this high success probability without overspending, the system used a smart strategy: we gave the Human Worker (h1)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maximum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on all their tasks to manage human-labor cost. We boosted the retries for the autonomous robots, which are cheaper to rerun: Robot r3 gets its maximum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t4_se1 Finishing task, and Robot r2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its t1_msb Foundation task.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G56Zd+LdunBBNRQMNrojw/e5w==">CgMxLjAaJAoBMBIfCh0IB0IZCgVBcmlhbBIQQXJpYWwgVW5pY29kZSBNUzIOaC55NXdwYW53M2xidGs4AHIhMUEzdmYyTDhfc0U1YVk1cDFmcFdJMWMxZjhvLUlUWmsz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