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x04r3sql8dke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1bii: Casual, Long, Single Coherent Paragraph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We have a clear, multi-agent plan for the construction site. Our Human Worker (h1) starts in Room H by tackling both Electrical Installation tasks (t2_ip2, t2_ip1) back-to-back, then moves to Room D for the first Plumbing task (t3_bza), followed by a trip to Room E for the second Plumbing task (t3_bzb). In the meantime, the robots are moving: Robot r1 heads to Room F for Foundation preparation (t1_msa), Robot r2 goes to Room G for its Foundation preparation (t1_msb), and Robot r3 completes one instance of Finishing work (t4_se1) at Room J before traveling to Room I for the final Finishing work (t4_wcp1). The results are grouped on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, which represents the list of optimal plans where you can't reduce the cost without lowering the chance of success, and vice-versa—it's the perfect balance between risk and spending. To meet our goal of a minimum 0.90 overall success probability, the planning system selected the most cost-effective option, delivering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 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 low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 This low cost is achieved through a controlled retry strategy where the Human Worker (h1) is limited to just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maximum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all four of their assigned tasks, while the robot agents receive more substantial retry allowances, specifically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Robot r3's t4_se1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Robot r2's t1_msb, to ensure mission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4gJ2U8b3zaB5fd04wYqZhD2FzQ==">CgMxLjAyDmgueDA0cjNzcWw4ZGtlOAByITFISFlaLVlRaW5BcHlWbEN2emtSVmZWQi1BU1pwZFoxbA==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