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ta91nn8byjrk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2aiii: Formal, Concise, Series of Bullet Points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Summary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h1:</w:t>
      </w:r>
      <w:r w:rsidDel="00000000" w:rsidR="00000000" w:rsidRPr="00000000">
        <w:rPr>
          <w:rFonts w:ascii="Arial" w:cs="Arial" w:eastAsia="Arial" w:hAnsi="Arial"/>
          <w:rtl w:val="0"/>
        </w:rPr>
        <w:t xml:space="preserve"> Executes Electrical Installation (t2) at Room H, followed by Plumbing Installation (t3) at Rooms D and 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r1/r2:</w:t>
      </w:r>
      <w:r w:rsidDel="00000000" w:rsidR="00000000" w:rsidRPr="00000000">
        <w:rPr>
          <w:rFonts w:ascii="Arial" w:cs="Arial" w:eastAsia="Arial" w:hAnsi="Arial"/>
          <w:rtl w:val="0"/>
        </w:rPr>
        <w:t xml:space="preserve"> Robots perform Foundation preparation (t1) at Room F and Room G, respectively.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r3:</w:t>
      </w:r>
      <w:r w:rsidDel="00000000" w:rsidR="00000000" w:rsidRPr="00000000">
        <w:rPr>
          <w:rFonts w:ascii="Arial" w:cs="Arial" w:eastAsia="Arial" w:hAnsi="Arial"/>
          <w:rtl w:val="0"/>
        </w:rPr>
        <w:t xml:space="preserve"> Robot handles Finishing work (t4) at Room J and Room 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Explanation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Represents the optimal set of non-dominated solutions.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Demonstrates the best possible trade-off between maximizing success probability and minimizing cost.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sdt>
        <w:sdtPr>
          <w:id w:val="-175369690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Optimal Solution Details (Minimum Probability ≥0.90)</w:t>
          </w:r>
        </w:sdtContent>
      </w:sdt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QoS: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Probability: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</w:t>
      </w:r>
      <w:r w:rsidDel="00000000" w:rsidR="00000000" w:rsidRPr="00000000">
        <w:rPr>
          <w:rFonts w:ascii="Arial" w:cs="Arial" w:eastAsia="Arial" w:hAnsi="Arial"/>
          <w:rtl w:val="0"/>
        </w:rPr>
        <w:t xml:space="preserve">; Cost: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Trade-off:</w:t>
      </w:r>
      <w:r w:rsidDel="00000000" w:rsidR="00000000" w:rsidRPr="00000000">
        <w:rPr>
          <w:rFonts w:ascii="Arial" w:cs="Arial" w:eastAsia="Arial" w:hAnsi="Arial"/>
          <w:rtl w:val="0"/>
        </w:rPr>
        <w:t xml:space="preserve"> Minimal cost solution to satisfy the 0.90 probability minimum.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Retries:</w:t>
      </w:r>
      <w:r w:rsidDel="00000000" w:rsidR="00000000" w:rsidRPr="00000000">
        <w:rPr>
          <w:rFonts w:ascii="Arial" w:cs="Arial" w:eastAsia="Arial" w:hAnsi="Arial"/>
          <w:rtl w:val="0"/>
        </w:rPr>
        <w:t xml:space="preserve"> Human worker (h1) tasks are limited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. High-retry allocation is placed on Robot r3 (t4_se1,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Robot r2 (t1_msb,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c4tOqaEAZhNGSSBQfpsuwheHzQ==">CgMxLjAaJAoBMBIfCh0IB0IZCgVBcmlhbBIQQXJpYWwgVW5pY29kZSBNUzIOaC50YTkxbm44Ynlqcms4AHIhMXRhcVBEcU81QUZnZW5VVVM3T2ZkVG9jUkRyazJzUDFn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