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160" w:lineRule="auto"/>
        <w:rPr>
          <w:rFonts w:ascii="Play" w:cs="Play" w:eastAsia="Play" w:hAnsi="Play"/>
          <w:color w:val="0f4761"/>
          <w:sz w:val="34"/>
          <w:szCs w:val="34"/>
        </w:rPr>
      </w:pPr>
      <w:bookmarkStart w:colFirst="0" w:colLast="0" w:name="_heading=h.oamiureeslgn" w:id="0"/>
      <w:bookmarkEnd w:id="0"/>
      <w:r w:rsidDel="00000000" w:rsidR="00000000" w:rsidRPr="00000000">
        <w:rPr>
          <w:rFonts w:ascii="Play" w:cs="Play" w:eastAsia="Play" w:hAnsi="Play"/>
          <w:color w:val="0f4761"/>
          <w:sz w:val="34"/>
          <w:szCs w:val="34"/>
          <w:rtl w:val="0"/>
        </w:rPr>
        <w:t xml:space="preserve">1a.ii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derived stochastic policy π specifies an efficient allocation for the heterogeneous agent collective A={w1​,w2​,r1​,r2​}. The human agents prioritize the t1​ and t3​ tasks, executing them along non-overlapping, optimized path sequences to ensure complete spatial coverage of the grid. Concurrency is achieved through the parallel deployment of robotic agents r1​ and r2​, who collectively address the entire set of t2​ (Soil Analysis) tasks, a critical bottleneck. The solution space is characterized by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Pareto Front P</w:t>
      </w:r>
      <w:sdt>
        <w:sdtPr>
          <w:id w:val="-1248638351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, which is the locus of non-dominated solutions minimizing the joint objective function f(π)=(P(π)−1,E[C]). This boundary rigorously defines the optimal trade-off between maximizing system reliability and minimizing resource expenditure. To satisfy the mandate P(π)≥0.91, the system selected the optimal knee-point solution, </w:t>
          </w:r>
        </w:sdtContent>
      </w:sdt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 15</w:t>
      </w:r>
      <w:r w:rsidDel="00000000" w:rsidR="00000000" w:rsidRPr="00000000">
        <w:rPr>
          <w:rFonts w:ascii="Arial" w:cs="Arial" w:eastAsia="Arial" w:hAnsi="Arial"/>
          <w:rtl w:val="0"/>
        </w:rPr>
        <w:t xml:space="preserve">. This policy yields a P(π)=0.916 with an E[C]=37.10. Robustness is ensured by strategically allocating the local fault tolerance budget Nmax​(ti​), where the most uncertain t2​ instances (e.g., t2​l5 and t2​l9) are assigned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 and 8</w:t>
      </w:r>
      <w:r w:rsidDel="00000000" w:rsidR="00000000" w:rsidRPr="00000000">
        <w:rPr>
          <w:rFonts w:ascii="Arial" w:cs="Arial" w:eastAsia="Arial" w:hAnsi="Arial"/>
          <w:rtl w:val="0"/>
        </w:rPr>
        <w:t xml:space="preserve"> maximal re-executions, respectively, to maintain the requisite system reliability.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Arial Unicode MS"/>
  <w:font w:name="Play">
    <w:embedRegular w:fontKey="{00000000-0000-0000-0000-000000000000}" r:id="rId1" w:subsetted="0"/>
    <w:embedBold w:fontKey="{00000000-0000-0000-0000-000000000000}" r:id="rId2" w:subsetted="0"/>
  </w:font>
  <w:font w:name="Arim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Arimo-regular.ttf"/><Relationship Id="rId4" Type="http://schemas.openxmlformats.org/officeDocument/2006/relationships/font" Target="fonts/Arimo-bold.ttf"/><Relationship Id="rId5" Type="http://schemas.openxmlformats.org/officeDocument/2006/relationships/font" Target="fonts/Arimo-italic.ttf"/><Relationship Id="rId6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eYh8xZauy/0uC67YTlxcgVM9iw==">CgMxLjAaJAoBMBIfCh0IB0IZCgVBcmltbxIQQXJpYWwgVW5pY29kZSBNUzIOaC5vYW1pdXJlZXNsZ244AHIhMV9zX2VNcUNjaHBDVVIwa2JEOFRTWDFYZWpybEhyVDlT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