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3C0573" w:rsidRDefault="003C0573" w:rsidP="003C0573">
      <w:pPr>
        <w:pStyle w:val="ListParagraph"/>
        <w:numPr>
          <w:ilvl w:val="0"/>
          <w:numId w:val="7"/>
        </w:numPr>
        <w:rPr>
          <w:b/>
        </w:rPr>
      </w:pPr>
      <w:proofErr w:type="spellStart"/>
      <w:r>
        <w:rPr>
          <w:b/>
        </w:rPr>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r w:rsidR="00AE3B24">
        <w:br w:type="page"/>
      </w:r>
    </w:p>
    <w:p w:rsidR="00AE3B24" w:rsidRDefault="00AE3B24" w:rsidP="00AE3B24">
      <w:pPr>
        <w:pStyle w:val="ListParagraph"/>
        <w:numPr>
          <w:ilvl w:val="0"/>
          <w:numId w:val="7"/>
        </w:numPr>
        <w:rPr>
          <w:b/>
        </w:rPr>
      </w:pPr>
      <w:proofErr w:type="spellStart"/>
      <w:r>
        <w:rPr>
          <w:b/>
        </w:rPr>
        <w:lastRenderedPageBreak/>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8A34DF" w:rsidRDefault="003C0573" w:rsidP="008A34DF">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A34DF" w:rsidRDefault="008A34DF" w:rsidP="008A34DF">
      <w:pPr>
        <w:pStyle w:val="ListParagraph"/>
        <w:numPr>
          <w:ilvl w:val="0"/>
          <w:numId w:val="7"/>
        </w:numPr>
        <w:rPr>
          <w:b/>
        </w:rPr>
      </w:pPr>
      <w:proofErr w:type="spellStart"/>
      <w:r>
        <w:rPr>
          <w:b/>
        </w:rPr>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w:t>
      </w:r>
      <w:r>
        <w:t>0</w:t>
      </w:r>
      <w:r>
        <w:t>.0</w:t>
      </w:r>
    </w:p>
    <w:p w:rsidR="003C0573" w:rsidRDefault="008A34DF" w:rsidP="003C0573">
      <w:pPr>
        <w:pStyle w:val="ListParagraph"/>
        <w:numPr>
          <w:ilvl w:val="1"/>
          <w:numId w:val="7"/>
        </w:numPr>
      </w:pPr>
      <w:r>
        <w:t xml:space="preserve">The </w:t>
      </w:r>
      <w:r>
        <w:t xml:space="preserve">offset, in amps, to suppress fault detection in records with </w:t>
      </w:r>
      <w:proofErr w:type="spellStart"/>
      <w:r>
        <w:t>prefault</w:t>
      </w:r>
      <w:proofErr w:type="spellEnd"/>
      <w:r>
        <w:t xml:space="preserve"> data that does not contain load current</w:t>
      </w:r>
      <w:r>
        <w: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r w:rsidR="008A34DF">
        <w:br w:type="page"/>
      </w:r>
    </w:p>
    <w:p w:rsidR="003C0573" w:rsidRPr="00EA0189" w:rsidRDefault="003C0573" w:rsidP="003C0573">
      <w:pPr>
        <w:pStyle w:val="ListParagraph"/>
        <w:numPr>
          <w:ilvl w:val="0"/>
          <w:numId w:val="7"/>
        </w:numPr>
      </w:pPr>
      <w:proofErr w:type="spellStart"/>
      <w:r>
        <w:rPr>
          <w:b/>
        </w:rPr>
        <w:lastRenderedPageBreak/>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bookmarkStart w:id="0" w:name="_GoBack"/>
      <w:bookmarkEnd w:id="0"/>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7A1A4C" w:rsidRDefault="003C0573" w:rsidP="007A1A4C">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p>
    <w:p w:rsidR="007D56F8" w:rsidRDefault="007D56F8" w:rsidP="007D56F8">
      <w:pPr>
        <w:pStyle w:val="ListParagraph"/>
        <w:numPr>
          <w:ilvl w:val="0"/>
          <w:numId w:val="7"/>
        </w:numPr>
        <w:rPr>
          <w:b/>
        </w:rPr>
      </w:pPr>
      <w:r>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r w:rsidR="0043160E">
        <w:br w:type="page"/>
      </w:r>
    </w:p>
    <w:p w:rsidR="009E023B" w:rsidRPr="00F16988" w:rsidRDefault="009E023B" w:rsidP="009E023B">
      <w:pPr>
        <w:pStyle w:val="ListParagraph"/>
        <w:numPr>
          <w:ilvl w:val="0"/>
          <w:numId w:val="7"/>
        </w:numPr>
        <w:rPr>
          <w:b/>
        </w:rPr>
      </w:pPr>
      <w:proofErr w:type="spellStart"/>
      <w:r w:rsidRPr="00F16988">
        <w:rPr>
          <w:b/>
        </w:rPr>
        <w:lastRenderedPageBreak/>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D83FBF" w:rsidRDefault="009E023B" w:rsidP="00D83FBF">
      <w:pPr>
        <w:pStyle w:val="ListParagraph"/>
        <w:numPr>
          <w:ilvl w:val="2"/>
          <w:numId w:val="7"/>
        </w:numPr>
      </w:pPr>
      <w:r w:rsidRPr="00D83FBF">
        <w:rPr>
          <w:b/>
        </w:rPr>
        <w:t>None</w:t>
      </w:r>
      <w:r>
        <w:t xml:space="preserve"> disables file enumeration.</w:t>
      </w:r>
      <w:r>
        <w:br/>
      </w:r>
    </w:p>
    <w:p w:rsidR="009E023B" w:rsidRPr="008452FC" w:rsidRDefault="009E023B" w:rsidP="009E023B">
      <w:pPr>
        <w:pStyle w:val="ListParagraph"/>
        <w:numPr>
          <w:ilvl w:val="0"/>
          <w:numId w:val="7"/>
        </w:numPr>
      </w:pPr>
      <w:proofErr w:type="spellStart"/>
      <w:r>
        <w:rPr>
          <w:b/>
        </w:rPr>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43160E" w:rsidRDefault="009E023B" w:rsidP="0043160E">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r w:rsidR="0043160E">
        <w:br w:type="page"/>
      </w:r>
    </w:p>
    <w:p w:rsidR="009E023B" w:rsidRDefault="009E023B" w:rsidP="009E023B">
      <w:pPr>
        <w:pStyle w:val="ListParagraph"/>
        <w:numPr>
          <w:ilvl w:val="0"/>
          <w:numId w:val="7"/>
        </w:numPr>
        <w:rPr>
          <w:b/>
        </w:rPr>
      </w:pPr>
      <w:r>
        <w:rPr>
          <w:b/>
        </w:rPr>
        <w:lastRenderedPageBreak/>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D83FBF" w:rsidRDefault="0067680E" w:rsidP="00D83FBF">
      <w:pPr>
        <w:pStyle w:val="ListParagraph"/>
        <w:numPr>
          <w:ilvl w:val="1"/>
          <w:numId w:val="7"/>
        </w:numPr>
      </w:pPr>
      <w:r>
        <w:t>The per-unit voltage that represents the threshold between a sag and an interruption.</w:t>
      </w:r>
      <w:r>
        <w:br/>
      </w:r>
    </w:p>
    <w:p w:rsidR="001438B0" w:rsidRPr="00BB4045" w:rsidRDefault="001438B0" w:rsidP="001438B0">
      <w:pPr>
        <w:pStyle w:val="ListParagraph"/>
        <w:numPr>
          <w:ilvl w:val="0"/>
          <w:numId w:val="7"/>
        </w:numPr>
      </w:pPr>
      <w:proofErr w:type="spellStart"/>
      <w:r>
        <w:rPr>
          <w:b/>
        </w:rPr>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43160E" w:rsidRDefault="00FB2091" w:rsidP="0043160E">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r w:rsidR="0043160E">
        <w:br w:type="page"/>
      </w:r>
    </w:p>
    <w:p w:rsidR="00FB2091" w:rsidRPr="00E61DD3" w:rsidRDefault="00FB2091" w:rsidP="00FB2091">
      <w:pPr>
        <w:pStyle w:val="ListParagraph"/>
        <w:numPr>
          <w:ilvl w:val="0"/>
          <w:numId w:val="7"/>
        </w:numPr>
      </w:pPr>
      <w:proofErr w:type="spellStart"/>
      <w:r>
        <w:rPr>
          <w:b/>
        </w:rPr>
        <w:lastRenderedPageBreak/>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D83FBF" w:rsidRDefault="00FB2091" w:rsidP="00D83FBF">
      <w:pPr>
        <w:pStyle w:val="ListParagraph"/>
        <w:numPr>
          <w:ilvl w:val="1"/>
          <w:numId w:val="7"/>
        </w:numPr>
      </w:pPr>
      <w:r>
        <w:t>Values less than or equal to zero will be set to one.</w:t>
      </w:r>
      <w:r>
        <w:br/>
      </w:r>
    </w:p>
    <w:p w:rsidR="00FB2091" w:rsidRPr="000E02AB" w:rsidRDefault="00FB2091" w:rsidP="00FB2091">
      <w:pPr>
        <w:pStyle w:val="ListParagraph"/>
        <w:numPr>
          <w:ilvl w:val="0"/>
          <w:numId w:val="7"/>
        </w:numPr>
      </w:pPr>
      <w:proofErr w:type="spellStart"/>
      <w:r>
        <w:rPr>
          <w:b/>
        </w:rPr>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r w:rsidR="0043160E">
        <w:br w:type="page"/>
      </w:r>
    </w:p>
    <w:p w:rsidR="00FB2091" w:rsidRPr="006F5948" w:rsidRDefault="00FB2091" w:rsidP="00FB2091">
      <w:pPr>
        <w:pStyle w:val="ListParagraph"/>
        <w:numPr>
          <w:ilvl w:val="0"/>
          <w:numId w:val="7"/>
        </w:numPr>
      </w:pPr>
      <w:proofErr w:type="spellStart"/>
      <w:r>
        <w:rPr>
          <w:b/>
        </w:rPr>
        <w:lastRenderedPageBreak/>
        <w:t>SagThreshold</w:t>
      </w:r>
      <w:proofErr w:type="spellEnd"/>
    </w:p>
    <w:p w:rsidR="00FB2091" w:rsidRDefault="00FB2091" w:rsidP="00FB2091">
      <w:pPr>
        <w:pStyle w:val="ListParagraph"/>
        <w:numPr>
          <w:ilvl w:val="1"/>
          <w:numId w:val="7"/>
        </w:numPr>
      </w:pPr>
      <w:r>
        <w:t>Default: 0.9</w:t>
      </w:r>
    </w:p>
    <w:p w:rsidR="00D83FBF" w:rsidRDefault="00FB2091" w:rsidP="00D83FBF">
      <w:pPr>
        <w:pStyle w:val="ListParagraph"/>
        <w:numPr>
          <w:ilvl w:val="1"/>
          <w:numId w:val="7"/>
        </w:numPr>
      </w:pPr>
      <w:r>
        <w:t>The per-unit voltage that represents the threshold between a sag and normal conditions.</w:t>
      </w:r>
      <w:r>
        <w:br/>
      </w:r>
    </w:p>
    <w:p w:rsidR="00FB2091" w:rsidRPr="006F5948" w:rsidRDefault="00FB2091" w:rsidP="00FB2091">
      <w:pPr>
        <w:pStyle w:val="ListParagraph"/>
        <w:numPr>
          <w:ilvl w:val="0"/>
          <w:numId w:val="7"/>
        </w:numPr>
      </w:pPr>
      <w:proofErr w:type="spellStart"/>
      <w:r>
        <w:rPr>
          <w:b/>
        </w:rPr>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33B1A"/>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36C7"/>
    <w:rsid w:val="005D7756"/>
    <w:rsid w:val="006103A5"/>
    <w:rsid w:val="0061642C"/>
    <w:rsid w:val="00636CA4"/>
    <w:rsid w:val="00670308"/>
    <w:rsid w:val="00674C7B"/>
    <w:rsid w:val="00674F6B"/>
    <w:rsid w:val="0067680E"/>
    <w:rsid w:val="006F0CCF"/>
    <w:rsid w:val="006F2A3F"/>
    <w:rsid w:val="006F5948"/>
    <w:rsid w:val="00725573"/>
    <w:rsid w:val="007353F9"/>
    <w:rsid w:val="00747048"/>
    <w:rsid w:val="00793157"/>
    <w:rsid w:val="00795041"/>
    <w:rsid w:val="007A1A4C"/>
    <w:rsid w:val="007D56F8"/>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61DD3"/>
    <w:rsid w:val="00E628B2"/>
    <w:rsid w:val="00E75A47"/>
    <w:rsid w:val="00E92CF7"/>
    <w:rsid w:val="00EA0189"/>
    <w:rsid w:val="00EA2BC3"/>
    <w:rsid w:val="00EF689D"/>
    <w:rsid w:val="00F11B97"/>
    <w:rsid w:val="00F16988"/>
    <w:rsid w:val="00F27F46"/>
    <w:rsid w:val="00F353C3"/>
    <w:rsid w:val="00F743F1"/>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AB4D"/>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1071-2D95-4FC7-9717-1E89119A5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67</cp:revision>
  <cp:lastPrinted>2015-07-29T19:19:00Z</cp:lastPrinted>
  <dcterms:created xsi:type="dcterms:W3CDTF">2015-07-29T18:01:00Z</dcterms:created>
  <dcterms:modified xsi:type="dcterms:W3CDTF">2017-09-18T16:48:00Z</dcterms:modified>
</cp:coreProperties>
</file>