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GridSenpAI</w:t>
      </w:r>
    </w:p>
    <w:p>
      <w:pPr>
        <w:jc w:val="center"/>
      </w:pPr>
      <w:r>
        <w:rPr>
          <w:rFonts w:ascii="Aptos" w:hAnsi="Aptos"/>
          <w:b/>
          <w:color w:val="1F4E79"/>
          <w:sz w:val="34"/>
        </w:rPr>
        <w:t>Detailed System Design / Detailed Component Design (DSD/DCD)</w:t>
      </w:r>
    </w:p>
    <w:p>
      <w:pPr>
        <w:jc w:val="center"/>
      </w:pPr>
      <w:r>
        <w:rPr>
          <w:rFonts w:ascii="Aptos" w:hAnsi="Aptos"/>
          <w:sz w:val="22"/>
        </w:rPr>
        <w:t>Version: 2.1</w:t>
      </w:r>
    </w:p>
    <w:p>
      <w:pPr>
        <w:jc w:val="center"/>
      </w:pPr>
      <w:r>
        <w:rPr>
          <w:rFonts w:ascii="Aptos" w:hAnsi="Aptos"/>
          <w:sz w:val="22"/>
        </w:rPr>
        <w:t>Status: Official Production Baseline</w:t>
      </w:r>
    </w:p>
    <w:p>
      <w:pPr>
        <w:jc w:val="center"/>
      </w:pPr>
      <w:r>
        <w:rPr>
          <w:rFonts w:ascii="Aptos" w:hAnsi="Aptos"/>
          <w:sz w:val="22"/>
        </w:rPr>
        <w:t>Date: March 2026</w:t>
      </w:r>
    </w:p>
    <w:p>
      <w:pPr>
        <w:jc w:val="center"/>
      </w:pPr>
      <w:r>
        <w:rPr>
          <w:rFonts w:ascii="Aptos" w:hAnsi="Aptos"/>
          <w:sz w:val="22"/>
        </w:rPr>
        <w:t>Governing Artifact: GridSenpAI SRS v2.5</w:t>
      </w:r>
    </w:p>
    <w:p/>
    <w:tbl>
      <w:tblPr>
        <w:tblW w:type="auto" w:w="0"/>
        <w:jc w:val="center"/>
        <w:tblLayout w:type="fixed"/>
        <w:tblLook w:firstColumn="1" w:firstRow="1" w:lastColumn="0" w:lastRow="0" w:noHBand="0" w:noVBand="1" w:val="04A0"/>
      </w:tblPr>
      <w:tblGrid>
        <w:gridCol w:w="9072"/>
      </w:tblGrid>
      <w:tr>
        <w:tc>
          <w:tcPr>
            <w:tcW w:type="dxa" w:w="9792"/>
            <w:shd w:fill="EAF2F8"/>
            <w:vAlign w:val="center"/>
          </w:tcPr>
          <w:p>
            <w:r/>
            <w:r>
              <w:rPr>
                <w:rFonts w:ascii="Aptos" w:hAnsi="Aptos"/>
                <w:b w:val="0"/>
                <w:color w:val="000000"/>
                <w:sz w:val="20"/>
              </w:rPr>
              <w:t>This document is the official design artifact for GridSenpAI and implements the full functional and non-functional scope defined by the approved SRS. All component boundaries, control rules, data flows, and governance mechanisms in this document are subordinate to the SRS.</w:t>
            </w:r>
          </w:p>
        </w:tc>
      </w:tr>
    </w:tbl>
    <w:p>
      <w:r>
        <w:br w:type="page"/>
      </w:r>
    </w:p>
    <w:p>
      <w:pPr>
        <w:pStyle w:val="Heading1"/>
      </w:pPr>
      <w:r>
        <w:t>1. Purpose and Scope</w:t>
      </w:r>
    </w:p>
    <w:p>
      <w:pPr/>
      <w:r>
        <w:rPr>
          <w:rFonts w:ascii="Aptos" w:hAnsi="Aptos"/>
          <w:sz w:val="21"/>
        </w:rPr>
        <w:t>This Detailed System Design / Detailed Component Design (DSD/DCD) defines the architecture, component responsibilities, interfaces, control mechanisms, and state flows required to implement GridSenpAI as specified by the approved SRS v2.5. The SRS is the governing source of truth. Where historical design assumptions conflict with the SRS, this document replaces those assumptions with an SRS-aligned design baseline.</w:t>
      </w:r>
    </w:p>
    <w:p>
      <w:pPr/>
      <w:r>
        <w:rPr>
          <w:rFonts w:ascii="Aptos" w:hAnsi="Aptos"/>
          <w:sz w:val="21"/>
        </w:rPr>
        <w:t>GridSenpAI is an AI-assisted engineering translation system that converts large-load facility artifacts and governed interview intake data into planner-ready modeling outputs for interconnection analysis and transmission-planning workflows. The design must therefore implement the full system picture: artifact ingestion, extraction, retrieval, governed intake, canonical-state formation, deterministic validation, translation, scenario generation, export, versioning, and validation/calibration.</w:t>
      </w:r>
    </w:p>
    <w:p>
      <w:pPr>
        <w:pStyle w:val="Heading1"/>
      </w:pPr>
      <w:r>
        <w:t>2. Design Principles</w:t>
      </w:r>
    </w:p>
    <w:p>
      <w:pPr>
        <w:pStyle w:val="ListBullet"/>
        <w:ind w:left="0"/>
      </w:pPr>
      <w:r>
        <w:t>Canonical facility state is the authoritative downstream engineering state.</w:t>
      </w:r>
    </w:p>
    <w:p>
      <w:pPr>
        <w:pStyle w:val="ListBullet"/>
        <w:ind w:left="0"/>
      </w:pPr>
      <w:r>
        <w:t>Deterministic validation outranks generative inference in all engineering decisions.</w:t>
      </w:r>
    </w:p>
    <w:p>
      <w:pPr>
        <w:pStyle w:val="ListBullet"/>
        <w:ind w:left="0"/>
      </w:pPr>
      <w:r>
        <w:t>LLM behavior is bounded, auditable, and advisory only.</w:t>
      </w:r>
    </w:p>
    <w:p>
      <w:pPr>
        <w:pStyle w:val="ListBullet"/>
        <w:ind w:left="0"/>
      </w:pPr>
      <w:r>
        <w:t>Conflicting evidence is preserved, surfaced, and routed for review rather than silently resolved.</w:t>
      </w:r>
    </w:p>
    <w:p>
      <w:pPr>
        <w:pStyle w:val="ListBullet"/>
        <w:ind w:left="0"/>
      </w:pPr>
      <w:r>
        <w:t>All derived parameters carry provenance, confidence context, and run lineage.</w:t>
      </w:r>
    </w:p>
    <w:p>
      <w:pPr>
        <w:pStyle w:val="ListBullet"/>
        <w:ind w:left="0"/>
      </w:pPr>
      <w:r>
        <w:t>Structured intake state, not raw conversational history, is the authoritative intake substrate.</w:t>
      </w:r>
    </w:p>
    <w:p>
      <w:pPr>
        <w:pStyle w:val="ListBullet"/>
        <w:ind w:left="0"/>
      </w:pPr>
      <w:r>
        <w:t>Reruns, replay, and version-diff generation are first-class design concerns.</w:t>
      </w:r>
    </w:p>
    <w:p>
      <w:pPr>
        <w:pStyle w:val="Heading1"/>
      </w:pPr>
      <w:r>
        <w:t>3. SRS-to-Design Traceability Baseline</w:t>
      </w:r>
    </w:p>
    <w:p>
      <w:pPr/>
      <w:r>
        <w:rPr>
          <w:rFonts w:ascii="Aptos" w:hAnsi="Aptos"/>
          <w:sz w:val="21"/>
        </w:rPr>
        <w:t>The table below is a mandatory design control. Every major SRS requirement family is mapped to one or more implementing components and mechanisms. If a requirement is not covered here, the design is incomplete.</w:t>
      </w:r>
    </w:p>
    <w:tbl>
      <w:tblPr>
        <w:tblStyle w:val="TableGrid"/>
        <w:tblW w:type="auto" w:w="0"/>
        <w:jc w:val="center"/>
        <w:tblLook w:firstColumn="1" w:firstRow="1" w:lastColumn="0" w:lastRow="0" w:noHBand="0" w:noVBand="1" w:val="04A0"/>
      </w:tblPr>
      <w:tblGrid>
        <w:gridCol w:w="2448"/>
        <w:gridCol w:w="3024"/>
        <w:gridCol w:w="3744"/>
      </w:tblGrid>
      <w:tr>
        <w:tc>
          <w:tcPr>
            <w:tcW w:type="dxa" w:w="3264"/>
            <w:shd w:fill="D9EAF7"/>
            <w:vAlign w:val="center"/>
          </w:tcPr>
          <w:p>
            <w:pPr>
              <w:jc w:val="center"/>
            </w:pPr>
            <w:r/>
            <w:r>
              <w:rPr>
                <w:rFonts w:ascii="Aptos" w:hAnsi="Aptos"/>
                <w:b/>
                <w:color w:val="1F1F1F"/>
                <w:sz w:val="20"/>
              </w:rPr>
              <w:t>SRS Requirement Family</w:t>
            </w:r>
          </w:p>
        </w:tc>
        <w:tc>
          <w:tcPr>
            <w:tcW w:type="dxa" w:w="3264"/>
            <w:shd w:fill="D9EAF7"/>
            <w:vAlign w:val="center"/>
          </w:tcPr>
          <w:p>
            <w:pPr>
              <w:jc w:val="center"/>
            </w:pPr>
            <w:r/>
            <w:r>
              <w:rPr>
                <w:rFonts w:ascii="Aptos" w:hAnsi="Aptos"/>
                <w:b/>
                <w:color w:val="1F1F1F"/>
                <w:sz w:val="20"/>
              </w:rPr>
              <w:t>Implementing Component(s)</w:t>
            </w:r>
          </w:p>
        </w:tc>
        <w:tc>
          <w:tcPr>
            <w:tcW w:type="dxa" w:w="3264"/>
            <w:shd w:fill="D9EAF7"/>
            <w:vAlign w:val="center"/>
          </w:tcPr>
          <w:p>
            <w:pPr>
              <w:jc w:val="center"/>
            </w:pPr>
            <w:r/>
            <w:r>
              <w:rPr>
                <w:rFonts w:ascii="Aptos" w:hAnsi="Aptos"/>
                <w:b/>
                <w:color w:val="1F1F1F"/>
                <w:sz w:val="20"/>
              </w:rPr>
              <w:t>Implementation Mechanism</w:t>
            </w:r>
          </w:p>
        </w:tc>
      </w:tr>
      <w:tr>
        <w:tc>
          <w:tcPr>
            <w:tcW w:type="dxa" w:w="2448"/>
            <w:vAlign w:val="center"/>
          </w:tcPr>
          <w:p>
            <w:r/>
            <w:r>
              <w:rPr>
                <w:rFonts w:ascii="Aptos" w:hAnsi="Aptos"/>
                <w:b w:val="0"/>
                <w:color w:val="000000"/>
                <w:sz w:val="19"/>
              </w:rPr>
              <w:t>FR-ING / artifact preprocessing</w:t>
            </w:r>
          </w:p>
        </w:tc>
        <w:tc>
          <w:tcPr>
            <w:tcW w:type="dxa" w:w="3024"/>
            <w:vAlign w:val="center"/>
          </w:tcPr>
          <w:p>
            <w:r/>
            <w:r>
              <w:rPr>
                <w:rFonts w:ascii="Aptos" w:hAnsi="Aptos"/>
                <w:b w:val="0"/>
                <w:color w:val="000000"/>
                <w:sz w:val="19"/>
              </w:rPr>
              <w:t>Artifact Ingestion and Preprocessing Service</w:t>
            </w:r>
          </w:p>
        </w:tc>
        <w:tc>
          <w:tcPr>
            <w:tcW w:type="dxa" w:w="3744"/>
            <w:vAlign w:val="center"/>
          </w:tcPr>
          <w:p>
            <w:r/>
            <w:r>
              <w:rPr>
                <w:rFonts w:ascii="Aptos" w:hAnsi="Aptos"/>
                <w:b w:val="0"/>
                <w:color w:val="000000"/>
                <w:sz w:val="19"/>
              </w:rPr>
              <w:t>Artifact acceptance, OCR/layout preprocessing, artifact typing, anchor preservation, lineage capture</w:t>
            </w:r>
          </w:p>
        </w:tc>
      </w:tr>
      <w:tr>
        <w:tc>
          <w:tcPr>
            <w:tcW w:type="dxa" w:w="2448"/>
            <w:vAlign w:val="center"/>
          </w:tcPr>
          <w:p>
            <w:r/>
            <w:r>
              <w:rPr>
                <w:rFonts w:ascii="Aptos" w:hAnsi="Aptos"/>
                <w:b w:val="0"/>
                <w:color w:val="000000"/>
                <w:sz w:val="19"/>
              </w:rPr>
              <w:t>FR-EXT / extraction and ontology classification</w:t>
            </w:r>
          </w:p>
        </w:tc>
        <w:tc>
          <w:tcPr>
            <w:tcW w:type="dxa" w:w="3024"/>
            <w:vAlign w:val="center"/>
          </w:tcPr>
          <w:p>
            <w:r/>
            <w:r>
              <w:rPr>
                <w:rFonts w:ascii="Aptos" w:hAnsi="Aptos"/>
                <w:b w:val="0"/>
                <w:color w:val="000000"/>
                <w:sz w:val="19"/>
              </w:rPr>
              <w:t>Extraction and Ontology Classification Service</w:t>
            </w:r>
          </w:p>
        </w:tc>
        <w:tc>
          <w:tcPr>
            <w:tcW w:type="dxa" w:w="3744"/>
            <w:vAlign w:val="center"/>
          </w:tcPr>
          <w:p>
            <w:r/>
            <w:r>
              <w:rPr>
                <w:rFonts w:ascii="Aptos" w:hAnsi="Aptos"/>
                <w:b w:val="0"/>
                <w:color w:val="000000"/>
                <w:sz w:val="19"/>
              </w:rPr>
              <w:t>Entity extraction, unit normalization, ontology mapping, source-anchor preservation</w:t>
            </w:r>
          </w:p>
        </w:tc>
      </w:tr>
      <w:tr>
        <w:tc>
          <w:tcPr>
            <w:tcW w:type="dxa" w:w="2448"/>
            <w:vAlign w:val="center"/>
          </w:tcPr>
          <w:p>
            <w:r/>
            <w:r>
              <w:rPr>
                <w:rFonts w:ascii="Aptos" w:hAnsi="Aptos"/>
                <w:b w:val="0"/>
                <w:color w:val="000000"/>
                <w:sz w:val="19"/>
              </w:rPr>
              <w:t>FR-RAG / retrieval and knowledge support</w:t>
            </w:r>
          </w:p>
        </w:tc>
        <w:tc>
          <w:tcPr>
            <w:tcW w:type="dxa" w:w="3024"/>
            <w:vAlign w:val="center"/>
          </w:tcPr>
          <w:p>
            <w:r/>
            <w:r>
              <w:rPr>
                <w:rFonts w:ascii="Aptos" w:hAnsi="Aptos"/>
                <w:b w:val="0"/>
                <w:color w:val="000000"/>
                <w:sz w:val="19"/>
              </w:rPr>
              <w:t>Retrieval and Knowledge Support Service</w:t>
            </w:r>
          </w:p>
        </w:tc>
        <w:tc>
          <w:tcPr>
            <w:tcW w:type="dxa" w:w="3744"/>
            <w:vAlign w:val="center"/>
          </w:tcPr>
          <w:p>
            <w:r/>
            <w:r>
              <w:rPr>
                <w:rFonts w:ascii="Aptos" w:hAnsi="Aptos"/>
                <w:b w:val="0"/>
                <w:color w:val="000000"/>
                <w:sz w:val="19"/>
              </w:rPr>
              <w:t>Knowledge-family routing, typed evidence bundles, evidence-gap handling</w:t>
            </w:r>
          </w:p>
        </w:tc>
      </w:tr>
      <w:tr>
        <w:tc>
          <w:tcPr>
            <w:tcW w:type="dxa" w:w="2448"/>
            <w:vAlign w:val="center"/>
          </w:tcPr>
          <w:p>
            <w:r/>
            <w:r>
              <w:rPr>
                <w:rFonts w:ascii="Aptos" w:hAnsi="Aptos"/>
                <w:b w:val="0"/>
                <w:color w:val="000000"/>
                <w:sz w:val="19"/>
              </w:rPr>
              <w:t>FR-INT / governed intake</w:t>
            </w:r>
          </w:p>
        </w:tc>
        <w:tc>
          <w:tcPr>
            <w:tcW w:type="dxa" w:w="3024"/>
            <w:vAlign w:val="center"/>
          </w:tcPr>
          <w:p>
            <w:r/>
            <w:r>
              <w:rPr>
                <w:rFonts w:ascii="Aptos" w:hAnsi="Aptos"/>
                <w:b w:val="0"/>
                <w:color w:val="000000"/>
                <w:sz w:val="19"/>
              </w:rPr>
              <w:t>Structured Interview Intake Service</w:t>
            </w:r>
          </w:p>
        </w:tc>
        <w:tc>
          <w:tcPr>
            <w:tcW w:type="dxa" w:w="3744"/>
            <w:vAlign w:val="center"/>
          </w:tcPr>
          <w:p>
            <w:r/>
            <w:r>
              <w:rPr>
                <w:rFonts w:ascii="Aptos" w:hAnsi="Aptos"/>
                <w:b w:val="0"/>
                <w:color w:val="000000"/>
                <w:sz w:val="19"/>
              </w:rPr>
              <w:t>Session lifecycle, schema-linked questioning, field-state tracking, structured answer persistence</w:t>
            </w:r>
          </w:p>
        </w:tc>
      </w:tr>
      <w:tr>
        <w:tc>
          <w:tcPr>
            <w:tcW w:type="dxa" w:w="2448"/>
            <w:vAlign w:val="center"/>
          </w:tcPr>
          <w:p>
            <w:r/>
            <w:r>
              <w:rPr>
                <w:rFonts w:ascii="Aptos" w:hAnsi="Aptos"/>
                <w:b w:val="0"/>
                <w:color w:val="000000"/>
                <w:sz w:val="19"/>
              </w:rPr>
              <w:t>FR-AI / bounded LLM behavior</w:t>
            </w:r>
          </w:p>
        </w:tc>
        <w:tc>
          <w:tcPr>
            <w:tcW w:type="dxa" w:w="3024"/>
            <w:vAlign w:val="center"/>
          </w:tcPr>
          <w:p>
            <w:r/>
            <w:r>
              <w:rPr>
                <w:rFonts w:ascii="Aptos" w:hAnsi="Aptos"/>
                <w:b w:val="0"/>
                <w:color w:val="000000"/>
                <w:sz w:val="19"/>
              </w:rPr>
              <w:t>LLM Assistance Control Layer + Validation Service</w:t>
            </w:r>
          </w:p>
        </w:tc>
        <w:tc>
          <w:tcPr>
            <w:tcW w:type="dxa" w:w="3744"/>
            <w:vAlign w:val="center"/>
          </w:tcPr>
          <w:p>
            <w:r/>
            <w:r>
              <w:rPr>
                <w:rFonts w:ascii="Aptos" w:hAnsi="Aptos"/>
                <w:b w:val="0"/>
                <w:color w:val="000000"/>
                <w:sz w:val="19"/>
              </w:rPr>
              <w:t>Constrained AI tasks, governance metadata, deterministic acceptance gate</w:t>
            </w:r>
          </w:p>
        </w:tc>
      </w:tr>
      <w:tr>
        <w:tc>
          <w:tcPr>
            <w:tcW w:type="dxa" w:w="2448"/>
            <w:vAlign w:val="center"/>
          </w:tcPr>
          <w:p>
            <w:r/>
            <w:r>
              <w:rPr>
                <w:rFonts w:ascii="Aptos" w:hAnsi="Aptos"/>
                <w:b w:val="0"/>
                <w:color w:val="000000"/>
                <w:sz w:val="19"/>
              </w:rPr>
              <w:t>FR-NRM / normalization and canonical state</w:t>
            </w:r>
          </w:p>
        </w:tc>
        <w:tc>
          <w:tcPr>
            <w:tcW w:type="dxa" w:w="3024"/>
            <w:vAlign w:val="center"/>
          </w:tcPr>
          <w:p>
            <w:r/>
            <w:r>
              <w:rPr>
                <w:rFonts w:ascii="Aptos" w:hAnsi="Aptos"/>
                <w:b w:val="0"/>
                <w:color w:val="000000"/>
                <w:sz w:val="19"/>
              </w:rPr>
              <w:t>Normalization and Deterministic Validation Service + Canonical Facility State Service</w:t>
            </w:r>
          </w:p>
        </w:tc>
        <w:tc>
          <w:tcPr>
            <w:tcW w:type="dxa" w:w="3744"/>
            <w:vAlign w:val="center"/>
          </w:tcPr>
          <w:p>
            <w:r/>
            <w:r>
              <w:rPr>
                <w:rFonts w:ascii="Aptos" w:hAnsi="Aptos"/>
                <w:b w:val="0"/>
                <w:color w:val="000000"/>
                <w:sz w:val="19"/>
              </w:rPr>
              <w:t>Schema alignment, conflict detection, confidence assignment, canonical merge</w:t>
            </w:r>
          </w:p>
        </w:tc>
      </w:tr>
      <w:tr>
        <w:tc>
          <w:tcPr>
            <w:tcW w:type="dxa" w:w="2448"/>
            <w:vAlign w:val="center"/>
          </w:tcPr>
          <w:p>
            <w:r/>
            <w:r>
              <w:rPr>
                <w:rFonts w:ascii="Aptos" w:hAnsi="Aptos"/>
                <w:b w:val="0"/>
                <w:color w:val="000000"/>
                <w:sz w:val="19"/>
              </w:rPr>
              <w:t>FR-TRN / translation and output generation</w:t>
            </w:r>
          </w:p>
        </w:tc>
        <w:tc>
          <w:tcPr>
            <w:tcW w:type="dxa" w:w="3024"/>
            <w:vAlign w:val="center"/>
          </w:tcPr>
          <w:p>
            <w:r/>
            <w:r>
              <w:rPr>
                <w:rFonts w:ascii="Aptos" w:hAnsi="Aptos"/>
                <w:b w:val="0"/>
                <w:color w:val="000000"/>
                <w:sz w:val="19"/>
              </w:rPr>
              <w:t>Translation Service</w:t>
            </w:r>
          </w:p>
        </w:tc>
        <w:tc>
          <w:tcPr>
            <w:tcW w:type="dxa" w:w="3744"/>
            <w:vAlign w:val="center"/>
          </w:tcPr>
          <w:p>
            <w:r/>
            <w:r>
              <w:rPr>
                <w:rFonts w:ascii="Aptos" w:hAnsi="Aptos"/>
                <w:b w:val="0"/>
                <w:color w:val="000000"/>
                <w:sz w:val="19"/>
              </w:rPr>
              <w:t>Planner-ready parameter derivation, terminology translation, rationale and confidence attachment</w:t>
            </w:r>
          </w:p>
        </w:tc>
      </w:tr>
      <w:tr>
        <w:tc>
          <w:tcPr>
            <w:tcW w:type="dxa" w:w="2448"/>
            <w:vAlign w:val="center"/>
          </w:tcPr>
          <w:p>
            <w:r/>
            <w:r>
              <w:rPr>
                <w:rFonts w:ascii="Aptos" w:hAnsi="Aptos"/>
                <w:b w:val="0"/>
                <w:color w:val="000000"/>
                <w:sz w:val="19"/>
              </w:rPr>
              <w:t>FR-SCN / scenario generation</w:t>
            </w:r>
          </w:p>
        </w:tc>
        <w:tc>
          <w:tcPr>
            <w:tcW w:type="dxa" w:w="3024"/>
            <w:vAlign w:val="center"/>
          </w:tcPr>
          <w:p>
            <w:r/>
            <w:r>
              <w:rPr>
                <w:rFonts w:ascii="Aptos" w:hAnsi="Aptos"/>
                <w:b w:val="0"/>
                <w:color w:val="000000"/>
                <w:sz w:val="19"/>
              </w:rPr>
              <w:t>Scenario Generation Service</w:t>
            </w:r>
          </w:p>
        </w:tc>
        <w:tc>
          <w:tcPr>
            <w:tcW w:type="dxa" w:w="3744"/>
            <w:vAlign w:val="center"/>
          </w:tcPr>
          <w:p>
            <w:r/>
            <w:r>
              <w:rPr>
                <w:rFonts w:ascii="Aptos" w:hAnsi="Aptos"/>
                <w:b w:val="0"/>
                <w:color w:val="000000"/>
                <w:sz w:val="19"/>
              </w:rPr>
              <w:t>Scenario families, bounded variants, rationale and bounds</w:t>
            </w:r>
          </w:p>
        </w:tc>
      </w:tr>
      <w:tr>
        <w:tc>
          <w:tcPr>
            <w:tcW w:type="dxa" w:w="2448"/>
            <w:vAlign w:val="center"/>
          </w:tcPr>
          <w:p>
            <w:r/>
            <w:r>
              <w:rPr>
                <w:rFonts w:ascii="Aptos" w:hAnsi="Aptos"/>
                <w:b w:val="0"/>
                <w:color w:val="000000"/>
                <w:sz w:val="19"/>
              </w:rPr>
              <w:t>FR-EXP / export</w:t>
            </w:r>
          </w:p>
        </w:tc>
        <w:tc>
          <w:tcPr>
            <w:tcW w:type="dxa" w:w="3024"/>
            <w:vAlign w:val="center"/>
          </w:tcPr>
          <w:p>
            <w:r/>
            <w:r>
              <w:rPr>
                <w:rFonts w:ascii="Aptos" w:hAnsi="Aptos"/>
                <w:b w:val="0"/>
                <w:color w:val="000000"/>
                <w:sz w:val="19"/>
              </w:rPr>
              <w:t>Export and Versioning Service</w:t>
            </w:r>
          </w:p>
        </w:tc>
        <w:tc>
          <w:tcPr>
            <w:tcW w:type="dxa" w:w="3744"/>
            <w:vAlign w:val="center"/>
          </w:tcPr>
          <w:p>
            <w:r/>
            <w:r>
              <w:rPr>
                <w:rFonts w:ascii="Aptos" w:hAnsi="Aptos"/>
                <w:b w:val="0"/>
                <w:color w:val="000000"/>
                <w:sz w:val="19"/>
              </w:rPr>
              <w:t>JSON + Word/PDF packaging, planner packet composition</w:t>
            </w:r>
          </w:p>
        </w:tc>
      </w:tr>
      <w:tr>
        <w:tc>
          <w:tcPr>
            <w:tcW w:type="dxa" w:w="2448"/>
            <w:vAlign w:val="center"/>
          </w:tcPr>
          <w:p>
            <w:r/>
            <w:r>
              <w:rPr>
                <w:rFonts w:ascii="Aptos" w:hAnsi="Aptos"/>
                <w:b w:val="0"/>
                <w:color w:val="000000"/>
                <w:sz w:val="19"/>
              </w:rPr>
              <w:t>FR-VER / versioning</w:t>
            </w:r>
          </w:p>
        </w:tc>
        <w:tc>
          <w:tcPr>
            <w:tcW w:type="dxa" w:w="3024"/>
            <w:vAlign w:val="center"/>
          </w:tcPr>
          <w:p>
            <w:r/>
            <w:r>
              <w:rPr>
                <w:rFonts w:ascii="Aptos" w:hAnsi="Aptos"/>
                <w:b w:val="0"/>
                <w:color w:val="000000"/>
                <w:sz w:val="19"/>
              </w:rPr>
              <w:t>Export and Versioning Service + Run Lineage Model</w:t>
            </w:r>
          </w:p>
        </w:tc>
        <w:tc>
          <w:tcPr>
            <w:tcW w:type="dxa" w:w="3744"/>
            <w:vAlign w:val="center"/>
          </w:tcPr>
          <w:p>
            <w:r/>
            <w:r>
              <w:rPr>
                <w:rFonts w:ascii="Aptos" w:hAnsi="Aptos"/>
                <w:b w:val="0"/>
                <w:color w:val="000000"/>
                <w:sz w:val="19"/>
              </w:rPr>
              <w:t>Version labels, changelog, output diffs, replay linkage</w:t>
            </w:r>
          </w:p>
        </w:tc>
      </w:tr>
      <w:tr>
        <w:tc>
          <w:tcPr>
            <w:tcW w:type="dxa" w:w="2448"/>
            <w:vAlign w:val="center"/>
          </w:tcPr>
          <w:p>
            <w:r/>
            <w:r>
              <w:rPr>
                <w:rFonts w:ascii="Aptos" w:hAnsi="Aptos"/>
                <w:b w:val="0"/>
                <w:color w:val="000000"/>
                <w:sz w:val="19"/>
              </w:rPr>
              <w:t>FR-VAL / validation and calibration</w:t>
            </w:r>
          </w:p>
        </w:tc>
        <w:tc>
          <w:tcPr>
            <w:tcW w:type="dxa" w:w="3024"/>
            <w:vAlign w:val="center"/>
          </w:tcPr>
          <w:p>
            <w:r/>
            <w:r>
              <w:rPr>
                <w:rFonts w:ascii="Aptos" w:hAnsi="Aptos"/>
                <w:b w:val="0"/>
                <w:color w:val="000000"/>
                <w:sz w:val="19"/>
              </w:rPr>
              <w:t>Validation and Calibration Service</w:t>
            </w:r>
          </w:p>
        </w:tc>
        <w:tc>
          <w:tcPr>
            <w:tcW w:type="dxa" w:w="3744"/>
            <w:vAlign w:val="center"/>
          </w:tcPr>
          <w:p>
            <w:r/>
            <w:r>
              <w:rPr>
                <w:rFonts w:ascii="Aptos" w:hAnsi="Aptos"/>
                <w:b w:val="0"/>
                <w:color w:val="000000"/>
                <w:sz w:val="19"/>
              </w:rPr>
              <w:t>Telemetry/commissioning updates, supersession handling, rerun generation</w:t>
            </w:r>
          </w:p>
        </w:tc>
      </w:tr>
      <w:tr>
        <w:tc>
          <w:tcPr>
            <w:tcW w:type="dxa" w:w="2448"/>
            <w:vAlign w:val="center"/>
          </w:tcPr>
          <w:p>
            <w:r/>
            <w:r>
              <w:rPr>
                <w:rFonts w:ascii="Aptos" w:hAnsi="Aptos"/>
                <w:b w:val="0"/>
                <w:color w:val="000000"/>
                <w:sz w:val="19"/>
              </w:rPr>
              <w:t>NFR-SEC / security</w:t>
            </w:r>
          </w:p>
        </w:tc>
        <w:tc>
          <w:tcPr>
            <w:tcW w:type="dxa" w:w="3024"/>
            <w:vAlign w:val="center"/>
          </w:tcPr>
          <w:p>
            <w:r/>
            <w:r>
              <w:rPr>
                <w:rFonts w:ascii="Aptos" w:hAnsi="Aptos"/>
                <w:b w:val="0"/>
                <w:color w:val="000000"/>
                <w:sz w:val="19"/>
              </w:rPr>
              <w:t>Governance, Audit, and Security Architecture</w:t>
            </w:r>
          </w:p>
        </w:tc>
        <w:tc>
          <w:tcPr>
            <w:tcW w:type="dxa" w:w="3744"/>
            <w:vAlign w:val="center"/>
          </w:tcPr>
          <w:p>
            <w:r/>
            <w:r>
              <w:rPr>
                <w:rFonts w:ascii="Aptos" w:hAnsi="Aptos"/>
                <w:b w:val="0"/>
                <w:color w:val="000000"/>
                <w:sz w:val="19"/>
              </w:rPr>
              <w:t>RBAC, encryption, project isolation, secrets handling</w:t>
            </w:r>
          </w:p>
        </w:tc>
      </w:tr>
      <w:tr>
        <w:tc>
          <w:tcPr>
            <w:tcW w:type="dxa" w:w="2448"/>
            <w:vAlign w:val="center"/>
          </w:tcPr>
          <w:p>
            <w:r/>
            <w:r>
              <w:rPr>
                <w:rFonts w:ascii="Aptos" w:hAnsi="Aptos"/>
                <w:b w:val="0"/>
                <w:color w:val="000000"/>
                <w:sz w:val="19"/>
              </w:rPr>
              <w:t>NFR-AUD / auditability</w:t>
            </w:r>
          </w:p>
        </w:tc>
        <w:tc>
          <w:tcPr>
            <w:tcW w:type="dxa" w:w="3024"/>
            <w:vAlign w:val="center"/>
          </w:tcPr>
          <w:p>
            <w:r/>
            <w:r>
              <w:rPr>
                <w:rFonts w:ascii="Aptos" w:hAnsi="Aptos"/>
                <w:b w:val="0"/>
                <w:color w:val="000000"/>
                <w:sz w:val="19"/>
              </w:rPr>
              <w:t>Governance, Audit, and Security Architecture</w:t>
            </w:r>
          </w:p>
        </w:tc>
        <w:tc>
          <w:tcPr>
            <w:tcW w:type="dxa" w:w="3744"/>
            <w:vAlign w:val="center"/>
          </w:tcPr>
          <w:p>
            <w:r/>
            <w:r>
              <w:rPr>
                <w:rFonts w:ascii="Aptos" w:hAnsi="Aptos"/>
                <w:b w:val="0"/>
                <w:color w:val="000000"/>
                <w:sz w:val="19"/>
              </w:rPr>
              <w:t>Run logs, access logs, governance events, export logs</w:t>
            </w:r>
          </w:p>
        </w:tc>
      </w:tr>
      <w:tr>
        <w:tc>
          <w:tcPr>
            <w:tcW w:type="dxa" w:w="2448"/>
            <w:vAlign w:val="center"/>
          </w:tcPr>
          <w:p>
            <w:r/>
            <w:r>
              <w:rPr>
                <w:rFonts w:ascii="Aptos" w:hAnsi="Aptos"/>
                <w:b w:val="0"/>
                <w:color w:val="000000"/>
                <w:sz w:val="19"/>
              </w:rPr>
              <w:t>NFR-TRC / traceability</w:t>
            </w:r>
          </w:p>
        </w:tc>
        <w:tc>
          <w:tcPr>
            <w:tcW w:type="dxa" w:w="3024"/>
            <w:vAlign w:val="center"/>
          </w:tcPr>
          <w:p>
            <w:r/>
            <w:r>
              <w:rPr>
                <w:rFonts w:ascii="Aptos" w:hAnsi="Aptos"/>
                <w:b w:val="0"/>
                <w:color w:val="000000"/>
                <w:sz w:val="19"/>
              </w:rPr>
              <w:t>All stateful services</w:t>
            </w:r>
          </w:p>
        </w:tc>
        <w:tc>
          <w:tcPr>
            <w:tcW w:type="dxa" w:w="3744"/>
            <w:vAlign w:val="center"/>
          </w:tcPr>
          <w:p>
            <w:r/>
            <w:r>
              <w:rPr>
                <w:rFonts w:ascii="Aptos" w:hAnsi="Aptos"/>
                <w:b w:val="0"/>
                <w:color w:val="000000"/>
                <w:sz w:val="19"/>
              </w:rPr>
              <w:t>Evidence references, rule IDs, assumptions, conflict states</w:t>
            </w:r>
          </w:p>
        </w:tc>
      </w:tr>
      <w:tr>
        <w:tc>
          <w:tcPr>
            <w:tcW w:type="dxa" w:w="2448"/>
            <w:vAlign w:val="center"/>
          </w:tcPr>
          <w:p>
            <w:r/>
            <w:r>
              <w:rPr>
                <w:rFonts w:ascii="Aptos" w:hAnsi="Aptos"/>
                <w:b w:val="0"/>
                <w:color w:val="000000"/>
                <w:sz w:val="19"/>
              </w:rPr>
              <w:t>NFR-REP / reproducibility</w:t>
            </w:r>
          </w:p>
        </w:tc>
        <w:tc>
          <w:tcPr>
            <w:tcW w:type="dxa" w:w="3024"/>
            <w:vAlign w:val="center"/>
          </w:tcPr>
          <w:p>
            <w:r/>
            <w:r>
              <w:rPr>
                <w:rFonts w:ascii="Aptos" w:hAnsi="Aptos"/>
                <w:b w:val="0"/>
                <w:color w:val="000000"/>
                <w:sz w:val="19"/>
              </w:rPr>
              <w:t>Run Lineage and Replay Model</w:t>
            </w:r>
          </w:p>
        </w:tc>
        <w:tc>
          <w:tcPr>
            <w:tcW w:type="dxa" w:w="3744"/>
            <w:vAlign w:val="center"/>
          </w:tcPr>
          <w:p>
            <w:r/>
            <w:r>
              <w:rPr>
                <w:rFonts w:ascii="Aptos" w:hAnsi="Aptos"/>
                <w:b w:val="0"/>
                <w:color w:val="000000"/>
                <w:sz w:val="19"/>
              </w:rPr>
              <w:t>Pinned configuration, canonical snapshots, rerun replay, deterministic regeneration</w:t>
            </w:r>
          </w:p>
        </w:tc>
      </w:tr>
      <w:tr>
        <w:tc>
          <w:tcPr>
            <w:tcW w:type="dxa" w:w="2448"/>
            <w:vAlign w:val="center"/>
          </w:tcPr>
          <w:p>
            <w:r/>
            <w:r>
              <w:rPr>
                <w:rFonts w:ascii="Aptos" w:hAnsi="Aptos"/>
                <w:b w:val="0"/>
                <w:color w:val="000000"/>
                <w:sz w:val="19"/>
              </w:rPr>
              <w:t>NFR-GOV / governed intake and conflict preservation</w:t>
            </w:r>
          </w:p>
        </w:tc>
        <w:tc>
          <w:tcPr>
            <w:tcW w:type="dxa" w:w="3024"/>
            <w:vAlign w:val="center"/>
          </w:tcPr>
          <w:p>
            <w:r/>
            <w:r>
              <w:rPr>
                <w:rFonts w:ascii="Aptos" w:hAnsi="Aptos"/>
                <w:b w:val="0"/>
                <w:color w:val="000000"/>
                <w:sz w:val="19"/>
              </w:rPr>
              <w:t>Intake Service + Canonical State + Conflict Management Design</w:t>
            </w:r>
          </w:p>
        </w:tc>
        <w:tc>
          <w:tcPr>
            <w:tcW w:type="dxa" w:w="3744"/>
            <w:vAlign w:val="center"/>
          </w:tcPr>
          <w:p>
            <w:r/>
            <w:r>
              <w:rPr>
                <w:rFonts w:ascii="Aptos" w:hAnsi="Aptos"/>
                <w:b w:val="0"/>
                <w:color w:val="000000"/>
                <w:sz w:val="19"/>
              </w:rPr>
              <w:t>Structured state persistence, contradiction surfacing, review gating</w:t>
            </w:r>
          </w:p>
        </w:tc>
      </w:tr>
      <w:tr>
        <w:tc>
          <w:tcPr>
            <w:tcW w:type="dxa" w:w="2448"/>
            <w:vAlign w:val="center"/>
          </w:tcPr>
          <w:p>
            <w:r/>
            <w:r>
              <w:rPr>
                <w:rFonts w:ascii="Aptos" w:hAnsi="Aptos"/>
                <w:b w:val="0"/>
                <w:color w:val="000000"/>
                <w:sz w:val="19"/>
              </w:rPr>
              <w:t>NFR-AI / anti-fabrication and bounded AI</w:t>
            </w:r>
          </w:p>
        </w:tc>
        <w:tc>
          <w:tcPr>
            <w:tcW w:type="dxa" w:w="3024"/>
            <w:vAlign w:val="center"/>
          </w:tcPr>
          <w:p>
            <w:r/>
            <w:r>
              <w:rPr>
                <w:rFonts w:ascii="Aptos" w:hAnsi="Aptos"/>
                <w:b w:val="0"/>
                <w:color w:val="000000"/>
                <w:sz w:val="19"/>
              </w:rPr>
              <w:t>LLM Assistance Control Layer + Validation Service</w:t>
            </w:r>
          </w:p>
        </w:tc>
        <w:tc>
          <w:tcPr>
            <w:tcW w:type="dxa" w:w="3744"/>
            <w:vAlign w:val="center"/>
          </w:tcPr>
          <w:p>
            <w:r/>
            <w:r>
              <w:rPr>
                <w:rFonts w:ascii="Aptos" w:hAnsi="Aptos"/>
                <w:b w:val="0"/>
                <w:color w:val="000000"/>
                <w:sz w:val="19"/>
              </w:rPr>
              <w:t>Evidence-required generation, gap creation instead of unsupported values</w:t>
            </w:r>
          </w:p>
        </w:tc>
      </w:tr>
      <w:tr>
        <w:tc>
          <w:tcPr>
            <w:tcW w:type="dxa" w:w="2448"/>
            <w:vAlign w:val="center"/>
          </w:tcPr>
          <w:p>
            <w:r/>
            <w:r>
              <w:rPr>
                <w:rFonts w:ascii="Aptos" w:hAnsi="Aptos"/>
                <w:b w:val="0"/>
                <w:color w:val="000000"/>
                <w:sz w:val="19"/>
              </w:rPr>
              <w:t>NFR-DAT / persistent lineage and schema governance</w:t>
            </w:r>
          </w:p>
        </w:tc>
        <w:tc>
          <w:tcPr>
            <w:tcW w:type="dxa" w:w="3024"/>
            <w:vAlign w:val="center"/>
          </w:tcPr>
          <w:p>
            <w:r/>
            <w:r>
              <w:rPr>
                <w:rFonts w:ascii="Aptos" w:hAnsi="Aptos"/>
                <w:b w:val="0"/>
                <w:color w:val="000000"/>
                <w:sz w:val="19"/>
              </w:rPr>
              <w:t>Canonical Facility State Service + Shared Schemas</w:t>
            </w:r>
          </w:p>
        </w:tc>
        <w:tc>
          <w:tcPr>
            <w:tcW w:type="dxa" w:w="3744"/>
            <w:vAlign w:val="center"/>
          </w:tcPr>
          <w:p>
            <w:r/>
            <w:r>
              <w:rPr>
                <w:rFonts w:ascii="Aptos" w:hAnsi="Aptos"/>
                <w:b w:val="0"/>
                <w:color w:val="000000"/>
                <w:sz w:val="19"/>
              </w:rPr>
              <w:t>Durable schema-aligned storage and controlled evolution</w:t>
            </w:r>
          </w:p>
        </w:tc>
      </w:tr>
    </w:tbl>
    <w:p>
      <w:pPr>
        <w:pStyle w:val="Heading1"/>
      </w:pPr>
      <w:r>
        <w:t>4. System Context and Architectural Layers</w:t>
      </w:r>
    </w:p>
    <w:p>
      <w:pPr/>
      <w:r>
        <w:rPr>
          <w:rFonts w:ascii="Aptos" w:hAnsi="Aptos"/>
          <w:sz w:val="21"/>
        </w:rPr>
        <w:t>GridSenpAI is implemented as a governed engineering pipeline composed of layered services and cross-cutting controls. The design intentionally separates evidence intake, deterministic control, bounded AI assistance, canonical-state management, modeling generation, and governance.</w:t>
      </w:r>
    </w:p>
    <w:tbl>
      <w:tblPr>
        <w:tblStyle w:val="TableGrid"/>
        <w:tblW w:type="auto" w:w="0"/>
        <w:jc w:val="center"/>
        <w:tblLook w:firstColumn="1" w:firstRow="1" w:lastColumn="0" w:lastRow="0" w:noHBand="0" w:noVBand="1" w:val="04A0"/>
      </w:tblPr>
      <w:tblGrid>
        <w:gridCol w:w="3024"/>
        <w:gridCol w:w="6192"/>
      </w:tblGrid>
      <w:tr>
        <w:tc>
          <w:tcPr>
            <w:tcW w:type="dxa" w:w="4896"/>
            <w:shd w:fill="D9EAF7"/>
            <w:vAlign w:val="center"/>
          </w:tcPr>
          <w:p>
            <w:pPr>
              <w:jc w:val="center"/>
            </w:pPr>
            <w:r/>
            <w:r>
              <w:rPr>
                <w:rFonts w:ascii="Aptos" w:hAnsi="Aptos"/>
                <w:b/>
                <w:color w:val="000000"/>
                <w:sz w:val="20"/>
              </w:rPr>
              <w:t>Layer</w:t>
            </w:r>
          </w:p>
        </w:tc>
        <w:tc>
          <w:tcPr>
            <w:tcW w:type="dxa" w:w="4896"/>
            <w:shd w:fill="D9EAF7"/>
            <w:vAlign w:val="center"/>
          </w:tcPr>
          <w:p>
            <w:pPr>
              <w:jc w:val="center"/>
            </w:pPr>
            <w:r/>
            <w:r>
              <w:rPr>
                <w:rFonts w:ascii="Aptos" w:hAnsi="Aptos"/>
                <w:b/>
                <w:color w:val="000000"/>
                <w:sz w:val="20"/>
              </w:rPr>
              <w:t>Primary Components</w:t>
            </w:r>
          </w:p>
        </w:tc>
      </w:tr>
      <w:tr>
        <w:tc>
          <w:tcPr>
            <w:tcW w:type="dxa" w:w="3024"/>
            <w:vAlign w:val="center"/>
          </w:tcPr>
          <w:p>
            <w:r/>
            <w:r>
              <w:rPr>
                <w:rFonts w:ascii="Aptos" w:hAnsi="Aptos"/>
                <w:b/>
                <w:color w:val="000000"/>
                <w:sz w:val="20"/>
              </w:rPr>
              <w:t>Input Layer</w:t>
            </w:r>
          </w:p>
        </w:tc>
        <w:tc>
          <w:tcPr>
            <w:tcW w:type="dxa" w:w="6192"/>
            <w:vAlign w:val="center"/>
          </w:tcPr>
          <w:p>
            <w:r/>
            <w:r>
              <w:rPr>
                <w:rFonts w:ascii="Aptos" w:hAnsi="Aptos"/>
                <w:b w:val="0"/>
                <w:color w:val="000000"/>
                <w:sz w:val="19"/>
              </w:rPr>
              <w:t>Artifact Ingestion and Preprocessing Service; Structured Interview Intake Service; Retrieval and Knowledge Support Service</w:t>
            </w:r>
          </w:p>
        </w:tc>
      </w:tr>
      <w:tr>
        <w:tc>
          <w:tcPr>
            <w:tcW w:type="dxa" w:w="3024"/>
            <w:vAlign w:val="center"/>
          </w:tcPr>
          <w:p>
            <w:r/>
            <w:r>
              <w:rPr>
                <w:rFonts w:ascii="Aptos" w:hAnsi="Aptos"/>
                <w:b/>
                <w:color w:val="000000"/>
                <w:sz w:val="20"/>
              </w:rPr>
              <w:t>Processing Layer</w:t>
            </w:r>
          </w:p>
        </w:tc>
        <w:tc>
          <w:tcPr>
            <w:tcW w:type="dxa" w:w="6192"/>
            <w:vAlign w:val="center"/>
          </w:tcPr>
          <w:p>
            <w:r/>
            <w:r>
              <w:rPr>
                <w:rFonts w:ascii="Aptos" w:hAnsi="Aptos"/>
                <w:b w:val="0"/>
                <w:color w:val="000000"/>
                <w:sz w:val="19"/>
              </w:rPr>
              <w:t>Extraction and Ontology Classification Service; Normalization and Deterministic Validation Service</w:t>
            </w:r>
          </w:p>
        </w:tc>
      </w:tr>
      <w:tr>
        <w:tc>
          <w:tcPr>
            <w:tcW w:type="dxa" w:w="3024"/>
            <w:vAlign w:val="center"/>
          </w:tcPr>
          <w:p>
            <w:r/>
            <w:r>
              <w:rPr>
                <w:rFonts w:ascii="Aptos" w:hAnsi="Aptos"/>
                <w:b/>
                <w:color w:val="000000"/>
                <w:sz w:val="20"/>
              </w:rPr>
              <w:t>Authoritative State Layer</w:t>
            </w:r>
          </w:p>
        </w:tc>
        <w:tc>
          <w:tcPr>
            <w:tcW w:type="dxa" w:w="6192"/>
            <w:vAlign w:val="center"/>
          </w:tcPr>
          <w:p>
            <w:r/>
            <w:r>
              <w:rPr>
                <w:rFonts w:ascii="Aptos" w:hAnsi="Aptos"/>
                <w:b w:val="0"/>
                <w:color w:val="000000"/>
                <w:sz w:val="19"/>
              </w:rPr>
              <w:t>Canonical Facility State Service</w:t>
            </w:r>
          </w:p>
        </w:tc>
      </w:tr>
      <w:tr>
        <w:tc>
          <w:tcPr>
            <w:tcW w:type="dxa" w:w="3024"/>
            <w:vAlign w:val="center"/>
          </w:tcPr>
          <w:p>
            <w:r/>
            <w:r>
              <w:rPr>
                <w:rFonts w:ascii="Aptos" w:hAnsi="Aptos"/>
                <w:b/>
                <w:color w:val="000000"/>
                <w:sz w:val="20"/>
              </w:rPr>
              <w:t>Bounded AI Assistance Layer</w:t>
            </w:r>
          </w:p>
        </w:tc>
        <w:tc>
          <w:tcPr>
            <w:tcW w:type="dxa" w:w="6192"/>
            <w:vAlign w:val="center"/>
          </w:tcPr>
          <w:p>
            <w:r/>
            <w:r>
              <w:rPr>
                <w:rFonts w:ascii="Aptos" w:hAnsi="Aptos"/>
                <w:b w:val="0"/>
                <w:color w:val="000000"/>
                <w:sz w:val="19"/>
              </w:rPr>
              <w:t>LLM Assistance Control Layer</w:t>
            </w:r>
          </w:p>
        </w:tc>
      </w:tr>
      <w:tr>
        <w:tc>
          <w:tcPr>
            <w:tcW w:type="dxa" w:w="3024"/>
            <w:vAlign w:val="center"/>
          </w:tcPr>
          <w:p>
            <w:r/>
            <w:r>
              <w:rPr>
                <w:rFonts w:ascii="Aptos" w:hAnsi="Aptos"/>
                <w:b/>
                <w:color w:val="000000"/>
                <w:sz w:val="20"/>
              </w:rPr>
              <w:t>Modeling Layer</w:t>
            </w:r>
          </w:p>
        </w:tc>
        <w:tc>
          <w:tcPr>
            <w:tcW w:type="dxa" w:w="6192"/>
            <w:vAlign w:val="center"/>
          </w:tcPr>
          <w:p>
            <w:r/>
            <w:r>
              <w:rPr>
                <w:rFonts w:ascii="Aptos" w:hAnsi="Aptos"/>
                <w:b w:val="0"/>
                <w:color w:val="000000"/>
                <w:sz w:val="19"/>
              </w:rPr>
              <w:t>Translation Service; Scenario Generation Service; Validation and Calibration Service</w:t>
            </w:r>
          </w:p>
        </w:tc>
      </w:tr>
      <w:tr>
        <w:tc>
          <w:tcPr>
            <w:tcW w:type="dxa" w:w="3024"/>
            <w:vAlign w:val="center"/>
          </w:tcPr>
          <w:p>
            <w:r/>
            <w:r>
              <w:rPr>
                <w:rFonts w:ascii="Aptos" w:hAnsi="Aptos"/>
                <w:b/>
                <w:color w:val="000000"/>
                <w:sz w:val="20"/>
              </w:rPr>
              <w:t>Output and Governance Layer</w:t>
            </w:r>
          </w:p>
        </w:tc>
        <w:tc>
          <w:tcPr>
            <w:tcW w:type="dxa" w:w="6192"/>
            <w:vAlign w:val="center"/>
          </w:tcPr>
          <w:p>
            <w:r/>
            <w:r>
              <w:rPr>
                <w:rFonts w:ascii="Aptos" w:hAnsi="Aptos"/>
                <w:b w:val="0"/>
                <w:color w:val="000000"/>
                <w:sz w:val="19"/>
              </w:rPr>
              <w:t>Export and Versioning Service; Governance, Audit, and Security components; Run Lineage and Replay controls</w:t>
            </w:r>
          </w:p>
        </w:tc>
      </w:tr>
    </w:tbl>
    <w:p>
      <w:pPr>
        <w:pStyle w:val="Heading1"/>
      </w:pPr>
      <w:r>
        <w:t>5. Primary Input Paths</w:t>
      </w:r>
    </w:p>
    <w:p>
      <w:pPr>
        <w:pStyle w:val="Heading2"/>
      </w:pPr>
      <w:r>
        <w:t>5.1 Artifact Ingestion Path</w:t>
      </w:r>
    </w:p>
    <w:p>
      <w:pPr/>
      <w:r>
        <w:rPr>
          <w:rFonts w:ascii="Aptos" w:hAnsi="Aptos"/>
          <w:sz w:val="21"/>
        </w:rPr>
        <w:t>The artifact path accepts born-digital and scanned facility or interconnection documents, preprocesses them when required, preserves page-level and snippet-level anchors, and forwards extraction-ready content downstream. This path covers one-line diagrams, equipment schedules, UPS and generator documents, cooling-system documents, POI and substation artifacts, protection diagrams, telemetry and metering requirements, and related planner-facing materials.</w:t>
      </w:r>
    </w:p>
    <w:p>
      <w:pPr>
        <w:pStyle w:val="Heading2"/>
      </w:pPr>
      <w:r>
        <w:t>5.2 Interactive Intake Path</w:t>
      </w:r>
    </w:p>
    <w:p>
      <w:pPr/>
      <w:r>
        <w:rPr>
          <w:rFonts w:ascii="Aptos" w:hAnsi="Aptos"/>
          <w:sz w:val="21"/>
        </w:rPr>
        <w:t>The intake path is a structured, resumable engineering interview that captures missing, ambiguous, or confirmatory data. It is not a chatbot workflow. Every question maps to a canonical input field, field group, or validation dependency. The service tracks answered, inferred, assumed, conflicting, missing, and review-required states and avoids asking already confirmed questions unless reconfirmation is required by a detected conflict or change.</w:t>
      </w:r>
    </w:p>
    <w:p>
      <w:pPr>
        <w:pStyle w:val="Heading2"/>
      </w:pPr>
      <w:r>
        <w:t>5.3 Reference Knowledge Path</w:t>
      </w:r>
    </w:p>
    <w:p>
      <w:pPr/>
      <w:r>
        <w:rPr>
          <w:rFonts w:ascii="Aptos" w:hAnsi="Aptos"/>
          <w:sz w:val="21"/>
        </w:rPr>
        <w:t>The reference path supplies grounded support from three knowledge families: equipment references, interconnection/planning guidance, and modeling references. Retrieved evidence is typed so downstream components can interpret it correctly and maintain provenance fidelity.</w:t>
      </w:r>
    </w:p>
    <w:p>
      <w:pPr>
        <w:pStyle w:val="Heading1"/>
      </w:pPr>
      <w:r>
        <w:t>6. End-to-End Processing Flow</w:t>
      </w:r>
    </w:p>
    <w:p>
      <w:pPr>
        <w:pStyle w:val="ListNumber"/>
      </w:pPr>
      <w:r>
        <w:t>Start or resume project context and determine active run configuration.</w:t>
      </w:r>
    </w:p>
    <w:p>
      <w:pPr>
        <w:pStyle w:val="ListNumber"/>
      </w:pPr>
      <w:r>
        <w:t>Accept artifacts and/or governed intake responses.</w:t>
      </w:r>
    </w:p>
    <w:p>
      <w:pPr>
        <w:pStyle w:val="ListNumber"/>
      </w:pPr>
      <w:r>
        <w:t>Perform OCR and layout preprocessing for scanned or image-heavy artifacts.</w:t>
      </w:r>
    </w:p>
    <w:p>
      <w:pPr>
        <w:pStyle w:val="ListNumber"/>
      </w:pPr>
      <w:r>
        <w:t>Extract engineering entities, topology cues, settings, units, and anchors.</w:t>
      </w:r>
    </w:p>
    <w:p>
      <w:pPr>
        <w:pStyle w:val="ListNumber"/>
      </w:pPr>
      <w:r>
        <w:t>Retrieve supporting equipment, planning, and modeling references.</w:t>
      </w:r>
    </w:p>
    <w:p>
      <w:pPr>
        <w:pStyle w:val="ListNumber"/>
      </w:pPr>
      <w:r>
        <w:t>Normalize extracted and interview data into schema-aligned field structures.</w:t>
      </w:r>
    </w:p>
    <w:p>
      <w:pPr>
        <w:pStyle w:val="ListNumber"/>
      </w:pPr>
      <w:r>
        <w:t>Validate types, units, ranges, dependencies, and contradictions.</w:t>
      </w:r>
    </w:p>
    <w:p>
      <w:pPr>
        <w:pStyle w:val="ListNumber"/>
      </w:pPr>
      <w:r>
        <w:t>Merge accepted values into canonical facility state while preserving provenance, confidence, and unresolved conflicts.</w:t>
      </w:r>
    </w:p>
    <w:p>
      <w:pPr>
        <w:pStyle w:val="ListNumber"/>
      </w:pPr>
      <w:r>
        <w:t>Generate planner-ready parameters from canonical state plus grounded evidence and deterministic rules.</w:t>
      </w:r>
    </w:p>
    <w:p>
      <w:pPr>
        <w:pStyle w:val="ListNumber"/>
      </w:pPr>
      <w:r>
        <w:t>Generate scenario variants and optional missing-information lists.</w:t>
      </w:r>
    </w:p>
    <w:p>
      <w:pPr>
        <w:pStyle w:val="ListNumber"/>
      </w:pPr>
      <w:r>
        <w:t>Export structured and human-readable deliverables with version labels and changelog data.</w:t>
      </w:r>
    </w:p>
    <w:p>
      <w:pPr>
        <w:pStyle w:val="ListNumber"/>
      </w:pPr>
      <w:r>
        <w:t>Persist run lineage, evidence bundles, canonical-state snapshots, audit events, and replay metadata.</w:t>
      </w:r>
    </w:p>
    <w:p>
      <w:pPr>
        <w:pStyle w:val="Heading1"/>
      </w:pPr>
      <w:r>
        <w:t>7. Artifact Ingestion and Preprocessing Service</w:t>
      </w:r>
    </w:p>
    <w:p>
      <w:pPr/>
      <w:r>
        <w:rPr>
          <w:rFonts w:ascii="Aptos" w:hAnsi="Aptos"/>
          <w:b/>
          <w:sz w:val="21"/>
        </w:rPr>
        <w:t xml:space="preserve">Responsibility: </w:t>
      </w:r>
      <w:r>
        <w:rPr>
          <w:rFonts w:ascii="Aptos" w:hAnsi="Aptos"/>
          <w:sz w:val="21"/>
        </w:rPr>
        <w:t>Owns intake of facility and interconnection artifacts and prepares them for extraction without losing source fidelity.</w:t>
      </w:r>
    </w:p>
    <w:p>
      <w:pPr/>
      <w:r>
        <w:rPr>
          <w:rFonts w:ascii="Aptos" w:hAnsi="Aptos"/>
          <w:b/>
          <w:sz w:val="21"/>
        </w:rPr>
        <w:t xml:space="preserve">Core functions: </w:t>
      </w:r>
      <w:r>
        <w:rPr>
          <w:rFonts w:ascii="Aptos" w:hAnsi="Aptos"/>
          <w:sz w:val="21"/>
        </w:rPr>
        <w:t>Artifact upload, artifact-type classification, OCR, layout-aware parsing preparation, raw artifact preservation, page anchor preservation, and linkage of artifact sets to projects and runs.</w:t>
      </w:r>
    </w:p>
    <w:p>
      <w:pPr/>
      <w:r>
        <w:rPr>
          <w:rFonts w:ascii="Aptos" w:hAnsi="Aptos"/>
          <w:b/>
          <w:sz w:val="21"/>
        </w:rPr>
        <w:t xml:space="preserve">Design details: </w:t>
      </w:r>
      <w:r>
        <w:rPr>
          <w:rFonts w:ascii="Aptos" w:hAnsi="Aptos"/>
          <w:sz w:val="21"/>
        </w:rPr>
        <w:t>The service stores raw files, extracted text artifacts, and page/snippet anchor metadata. It tags artifacts by source family and document type so downstream extraction and retrieval can apply the appropriate ontology and context.</w:t>
      </w:r>
    </w:p>
    <w:p>
      <w:pPr/>
      <w:r>
        <w:rPr>
          <w:rFonts w:ascii="Aptos" w:hAnsi="Aptos"/>
          <w:b/>
          <w:sz w:val="21"/>
        </w:rPr>
        <w:t xml:space="preserve">Failure behavior: </w:t>
      </w:r>
      <w:r>
        <w:rPr>
          <w:rFonts w:ascii="Aptos" w:hAnsi="Aptos"/>
          <w:sz w:val="21"/>
        </w:rPr>
        <w:t>If a document cannot be parsed or yields low-confidence OCR, the service records the issue, preserves the artifact, and routes the content for review or bounded OCR interpretation rather than silently dropping it.</w:t>
      </w:r>
    </w:p>
    <w:p>
      <w:pPr>
        <w:pStyle w:val="Heading1"/>
      </w:pPr>
      <w:r>
        <w:t>8. Extraction and Ontology Classification Service</w:t>
      </w:r>
    </w:p>
    <w:p>
      <w:pPr/>
      <w:r>
        <w:rPr>
          <w:rFonts w:ascii="Aptos" w:hAnsi="Aptos"/>
          <w:b/>
          <w:sz w:val="21"/>
        </w:rPr>
        <w:t xml:space="preserve">Responsibility: </w:t>
      </w:r>
      <w:r>
        <w:rPr>
          <w:rFonts w:ascii="Aptos" w:hAnsi="Aptos"/>
          <w:sz w:val="21"/>
        </w:rPr>
        <w:t>Transforms preprocessed documents into structured engineering entities and canonical concept candidates.</w:t>
      </w:r>
    </w:p>
    <w:p>
      <w:pPr/>
      <w:r>
        <w:rPr>
          <w:rFonts w:ascii="Aptos" w:hAnsi="Aptos"/>
          <w:b/>
          <w:sz w:val="21"/>
        </w:rPr>
        <w:t xml:space="preserve">Core functions: </w:t>
      </w:r>
      <w:r>
        <w:rPr>
          <w:rFonts w:ascii="Aptos" w:hAnsi="Aptos"/>
          <w:sz w:val="21"/>
        </w:rPr>
        <w:t>Entity extraction, topology cue detection, value/unit capture, interconnection-specific concept extraction, unit normalization, ontology classification, and source-anchor attachment.</w:t>
      </w:r>
    </w:p>
    <w:p>
      <w:pPr/>
      <w:r>
        <w:rPr>
          <w:rFonts w:ascii="Aptos" w:hAnsi="Aptos"/>
          <w:b/>
          <w:sz w:val="21"/>
        </w:rPr>
        <w:t xml:space="preserve">Coverage requirements: </w:t>
      </w:r>
      <w:r>
        <w:rPr>
          <w:rFonts w:ascii="Aptos" w:hAnsi="Aptos"/>
          <w:sz w:val="21"/>
        </w:rPr>
        <w:t>The service must extract equipment ratings, load-driving equipment characteristics, POI references, substation topology cues, protection information, metering context, telemetry/SCADA references, and other planner-relevant artifacts where present.</w:t>
      </w:r>
    </w:p>
    <w:p>
      <w:pPr/>
      <w:r>
        <w:rPr>
          <w:rFonts w:ascii="Aptos" w:hAnsi="Aptos"/>
          <w:b/>
          <w:sz w:val="21"/>
        </w:rPr>
        <w:t xml:space="preserve">Outputs: </w:t>
      </w:r>
      <w:r>
        <w:rPr>
          <w:rFonts w:ascii="Aptos" w:hAnsi="Aptos"/>
          <w:sz w:val="21"/>
        </w:rPr>
        <w:t>Structured extraction objects containing field candidates, confidence indicators, unit normalization notes, ontology concept identifiers, and evidence anchors.</w:t>
      </w:r>
    </w:p>
    <w:p>
      <w:pPr>
        <w:pStyle w:val="Heading1"/>
      </w:pPr>
      <w:r>
        <w:t>9. Structured Interview Intake Service</w:t>
      </w:r>
    </w:p>
    <w:p>
      <w:pPr/>
      <w:r>
        <w:rPr>
          <w:rFonts w:ascii="Aptos" w:hAnsi="Aptos"/>
          <w:b/>
          <w:sz w:val="21"/>
        </w:rPr>
        <w:t xml:space="preserve">Responsibility: </w:t>
      </w:r>
      <w:r>
        <w:rPr>
          <w:rFonts w:ascii="Aptos" w:hAnsi="Aptos"/>
          <w:sz w:val="21"/>
        </w:rPr>
        <w:t>Runs the governed applicant interview workflow for missing, ambiguous, or confirmatory engineering data.</w:t>
      </w:r>
    </w:p>
    <w:p>
      <w:pPr/>
      <w:r>
        <w:rPr>
          <w:rFonts w:ascii="Aptos" w:hAnsi="Aptos"/>
          <w:b/>
          <w:sz w:val="21"/>
        </w:rPr>
        <w:t xml:space="preserve">Core functions: </w:t>
      </w:r>
      <w:r>
        <w:rPr>
          <w:rFonts w:ascii="Aptos" w:hAnsi="Aptos"/>
          <w:sz w:val="21"/>
        </w:rPr>
        <w:t>Start/resume intake sessions, present schema-linked questions, validate answer shape, check units and dependency constraints, avoid redundant questions, trigger clarification, persist structured answers, and prepare canonical-state merges.</w:t>
      </w:r>
    </w:p>
    <w:p>
      <w:pPr/>
      <w:r>
        <w:rPr>
          <w:rFonts w:ascii="Aptos" w:hAnsi="Aptos"/>
          <w:b/>
          <w:sz w:val="21"/>
        </w:rPr>
        <w:t xml:space="preserve">Field-state model: </w:t>
      </w:r>
      <w:r>
        <w:rPr>
          <w:rFonts w:ascii="Aptos" w:hAnsi="Aptos"/>
          <w:sz w:val="21"/>
        </w:rPr>
        <w:t>The intake subsystem tracks answered, confirmed, inferred, assumed, conflicting, missing, and review-required field states. These states are stored structurally, not inferred from free-form conversation history.</w:t>
      </w:r>
    </w:p>
    <w:p>
      <w:pPr/>
      <w:r>
        <w:rPr>
          <w:rFonts w:ascii="Aptos" w:hAnsi="Aptos"/>
          <w:b/>
          <w:sz w:val="21"/>
        </w:rPr>
        <w:t xml:space="preserve">LLM trigger points: </w:t>
      </w:r>
      <w:r>
        <w:rPr>
          <w:rFonts w:ascii="Aptos" w:hAnsi="Aptos"/>
          <w:sz w:val="21"/>
        </w:rPr>
        <w:t>LLM assistance may be requested only for explanation of a question, generation of a constrained clarification prompt, or interpretation of a non-conforming answer prior to deterministic validation.</w:t>
      </w:r>
    </w:p>
    <w:p>
      <w:pPr>
        <w:pStyle w:val="Heading1"/>
      </w:pPr>
      <w:r>
        <w:t>10. Retrieval and Knowledge Support Service</w:t>
      </w:r>
    </w:p>
    <w:p>
      <w:pPr/>
      <w:r>
        <w:rPr>
          <w:rFonts w:ascii="Aptos" w:hAnsi="Aptos"/>
          <w:b/>
          <w:sz w:val="21"/>
        </w:rPr>
        <w:t xml:space="preserve">Responsibility: </w:t>
      </w:r>
      <w:r>
        <w:rPr>
          <w:rFonts w:ascii="Aptos" w:hAnsi="Aptos"/>
          <w:sz w:val="21"/>
        </w:rPr>
        <w:t>Provides grounded engineering reference support across distinct corpus families.</w:t>
      </w:r>
    </w:p>
    <w:p>
      <w:pPr/>
      <w:r>
        <w:rPr>
          <w:rFonts w:ascii="Aptos" w:hAnsi="Aptos"/>
          <w:b/>
          <w:sz w:val="21"/>
        </w:rPr>
        <w:t xml:space="preserve">Knowledge families: </w:t>
      </w:r>
      <w:r>
        <w:rPr>
          <w:rFonts w:ascii="Aptos" w:hAnsi="Aptos"/>
          <w:sz w:val="21"/>
        </w:rPr>
        <w:t>Equipment references, interconnection/planning guidance, and modeling references.</w:t>
      </w:r>
    </w:p>
    <w:p>
      <w:pPr/>
      <w:r>
        <w:rPr>
          <w:rFonts w:ascii="Aptos" w:hAnsi="Aptos"/>
          <w:b/>
          <w:sz w:val="21"/>
        </w:rPr>
        <w:t xml:space="preserve">Core functions: </w:t>
      </w:r>
      <w:r>
        <w:rPr>
          <w:rFonts w:ascii="Aptos" w:hAnsi="Aptos"/>
          <w:sz w:val="21"/>
        </w:rPr>
        <w:t>Contextual retrieval, source-family routing, typed evidence bundle assembly, terminology support, and explicit evidence-gap signaling.</w:t>
      </w:r>
    </w:p>
    <w:p>
      <w:pPr/>
      <w:r>
        <w:rPr>
          <w:rFonts w:ascii="Aptos" w:hAnsi="Aptos"/>
          <w:b/>
          <w:sz w:val="21"/>
        </w:rPr>
        <w:t xml:space="preserve">Typed evidence bundles: </w:t>
      </w:r>
      <w:r>
        <w:rPr>
          <w:rFonts w:ascii="Aptos" w:hAnsi="Aptos"/>
          <w:sz w:val="21"/>
        </w:rPr>
        <w:t>Each bundle records the source family, retrieval target, snippet anchors, relevance summary, and downstream usage context so translation and validation can treat vendor specifications differently from planning guidance or modeling references.</w:t>
      </w:r>
    </w:p>
    <w:p>
      <w:pPr>
        <w:pStyle w:val="Heading1"/>
      </w:pPr>
      <w:r>
        <w:t>11. Normalization and Deterministic Validation Service</w:t>
      </w:r>
    </w:p>
    <w:p>
      <w:pPr/>
      <w:r>
        <w:rPr>
          <w:rFonts w:ascii="Aptos" w:hAnsi="Aptos"/>
          <w:b/>
          <w:sz w:val="21"/>
        </w:rPr>
        <w:t xml:space="preserve">Responsibility: </w:t>
      </w:r>
      <w:r>
        <w:rPr>
          <w:rFonts w:ascii="Aptos" w:hAnsi="Aptos"/>
          <w:sz w:val="21"/>
        </w:rPr>
        <w:t>Acts as the engineering control gate between raw evidence or answers and authoritative canonical-state acceptance.</w:t>
      </w:r>
    </w:p>
    <w:p>
      <w:pPr/>
      <w:r>
        <w:rPr>
          <w:rFonts w:ascii="Aptos" w:hAnsi="Aptos"/>
          <w:b/>
          <w:sz w:val="21"/>
        </w:rPr>
        <w:t xml:space="preserve">Core functions: </w:t>
      </w:r>
      <w:r>
        <w:rPr>
          <w:rFonts w:ascii="Aptos" w:hAnsi="Aptos"/>
          <w:sz w:val="21"/>
        </w:rPr>
        <w:t>Schema alignment, type checking, range and unit validation, dependency evaluation, conflict detection, confidence assignment, review-routing, and structured validation report creation.</w:t>
      </w:r>
    </w:p>
    <w:p>
      <w:pPr/>
      <w:r>
        <w:rPr>
          <w:rFonts w:ascii="Aptos" w:hAnsi="Aptos"/>
          <w:b/>
          <w:sz w:val="21"/>
        </w:rPr>
        <w:t xml:space="preserve">Acceptance rule: </w:t>
      </w:r>
      <w:r>
        <w:rPr>
          <w:rFonts w:ascii="Aptos" w:hAnsi="Aptos"/>
          <w:sz w:val="21"/>
        </w:rPr>
        <w:t>No value becomes authoritative because it was extracted or generated. A value becomes authoritative only after deterministic validation and canonical-state acceptance.</w:t>
      </w:r>
    </w:p>
    <w:p>
      <w:pPr/>
      <w:r>
        <w:rPr>
          <w:rFonts w:ascii="Aptos" w:hAnsi="Aptos"/>
          <w:b/>
          <w:sz w:val="21"/>
        </w:rPr>
        <w:t xml:space="preserve">Conflict behavior: </w:t>
      </w:r>
      <w:r>
        <w:rPr>
          <w:rFonts w:ascii="Aptos" w:hAnsi="Aptos"/>
          <w:sz w:val="21"/>
        </w:rPr>
        <w:t>When multiple sources disagree, the service preserves the contradiction, lowers confidence where appropriate, marks the field for clarification or review, and prevents unsupported silent resolution.</w:t>
      </w:r>
    </w:p>
    <w:p>
      <w:pPr>
        <w:pStyle w:val="Heading1"/>
      </w:pPr>
      <w:r>
        <w:t>12. Canonical Facility State Service</w:t>
      </w:r>
    </w:p>
    <w:p>
      <w:pPr/>
      <w:r>
        <w:rPr>
          <w:rFonts w:ascii="Aptos" w:hAnsi="Aptos"/>
          <w:b/>
          <w:sz w:val="21"/>
        </w:rPr>
        <w:t xml:space="preserve">Responsibility: </w:t>
      </w:r>
      <w:r>
        <w:rPr>
          <w:rFonts w:ascii="Aptos" w:hAnsi="Aptos"/>
          <w:sz w:val="21"/>
        </w:rPr>
        <w:t>Maintains the authoritative normalized engineering representation consumed by retrieval-assisted translation, scenario generation, export, and validation/calibration workflows.</w:t>
      </w:r>
    </w:p>
    <w:p>
      <w:pPr/>
      <w:r>
        <w:rPr>
          <w:rFonts w:ascii="Aptos" w:hAnsi="Aptos"/>
          <w:b/>
          <w:sz w:val="21"/>
        </w:rPr>
        <w:t xml:space="preserve">State contents: </w:t>
      </w:r>
      <w:r>
        <w:rPr>
          <w:rFonts w:ascii="Aptos" w:hAnsi="Aptos"/>
          <w:sz w:val="21"/>
        </w:rPr>
        <w:t>Document-derived values, interview-confirmed values, evidence-backed inferred values, assumed values, conflicting values, missing values, field status metadata, confidence metadata, provenance metadata, lineage metadata, unresolved gaps, and review-required flags.</w:t>
      </w:r>
    </w:p>
    <w:p>
      <w:pPr/>
      <w:r>
        <w:rPr>
          <w:rFonts w:ascii="Aptos" w:hAnsi="Aptos"/>
          <w:b/>
          <w:sz w:val="21"/>
        </w:rPr>
        <w:t xml:space="preserve">Core functions: </w:t>
      </w:r>
      <w:r>
        <w:rPr>
          <w:rFonts w:ascii="Aptos" w:hAnsi="Aptos"/>
          <w:sz w:val="21"/>
        </w:rPr>
        <w:t>Merge validated inputs, preserve contradictions, snapshot state, serve downstream consumers, support diff generation, and track field-level state evolution across runs.</w:t>
      </w:r>
    </w:p>
    <w:p>
      <w:pPr/>
      <w:r>
        <w:rPr>
          <w:rFonts w:ascii="Aptos" w:hAnsi="Aptos"/>
          <w:b/>
          <w:sz w:val="21"/>
        </w:rPr>
        <w:t xml:space="preserve">Critical design rule: </w:t>
      </w:r>
      <w:r>
        <w:rPr>
          <w:rFonts w:ascii="Aptos" w:hAnsi="Aptos"/>
          <w:sz w:val="21"/>
        </w:rPr>
        <w:t>Downstream components must consume canonical facility state rather than raw artifacts, raw retrieval snippets, or raw conversational content.</w:t>
      </w:r>
    </w:p>
    <w:p>
      <w:pPr>
        <w:pStyle w:val="Heading1"/>
      </w:pPr>
      <w:r>
        <w:t>13. LLM Assistance Control Layer</w:t>
      </w:r>
    </w:p>
    <w:p>
      <w:pPr/>
      <w:r>
        <w:rPr>
          <w:rFonts w:ascii="Aptos" w:hAnsi="Aptos"/>
          <w:b/>
          <w:sz w:val="21"/>
        </w:rPr>
        <w:t xml:space="preserve">Responsibility: </w:t>
      </w:r>
      <w:r>
        <w:rPr>
          <w:rFonts w:ascii="Aptos" w:hAnsi="Aptos"/>
          <w:sz w:val="21"/>
        </w:rPr>
        <w:t>Provides bounded AI assistance while enforcing SRS-required governance boundaries.</w:t>
      </w:r>
    </w:p>
    <w:p>
      <w:pPr/>
      <w:r>
        <w:rPr>
          <w:rFonts w:ascii="Aptos" w:hAnsi="Aptos"/>
          <w:b/>
          <w:sz w:val="21"/>
        </w:rPr>
        <w:t xml:space="preserve">Permitted roles: </w:t>
      </w:r>
      <w:r>
        <w:rPr>
          <w:rFonts w:ascii="Aptos" w:hAnsi="Aptos"/>
          <w:sz w:val="21"/>
        </w:rPr>
        <w:t>Interpretation of ambiguous OCR, explanation of intake questions, constrained follow-up generation, and interpretation of non-conforming applicant answers.</w:t>
      </w:r>
    </w:p>
    <w:p>
      <w:pPr/>
      <w:r>
        <w:rPr>
          <w:rFonts w:ascii="Aptos" w:hAnsi="Aptos"/>
          <w:b/>
          <w:sz w:val="21"/>
        </w:rPr>
        <w:t xml:space="preserve">Governance controls: </w:t>
      </w:r>
      <w:r>
        <w:rPr>
          <w:rFonts w:ascii="Aptos" w:hAnsi="Aptos"/>
          <w:sz w:val="21"/>
        </w:rPr>
        <w:t>Use-case tagging, prompt/version logging, run linkage, bounded context assembly, audit recording, and mandatory handoff to deterministic validation before any structured outcome enters canonical state.</w:t>
      </w:r>
    </w:p>
    <w:p>
      <w:pPr/>
      <w:r>
        <w:rPr>
          <w:rFonts w:ascii="Aptos" w:hAnsi="Aptos"/>
          <w:b/>
          <w:sz w:val="21"/>
        </w:rPr>
        <w:t xml:space="preserve">Prohibited behavior: </w:t>
      </w:r>
      <w:r>
        <w:rPr>
          <w:rFonts w:ascii="Aptos" w:hAnsi="Aptos"/>
          <w:sz w:val="21"/>
        </w:rPr>
        <w:t>The LLM layer must not invent unsupported engineering facts, silently resolve contradictions, or act as the authoritative source of parameter values.</w:t>
      </w:r>
    </w:p>
    <w:p>
      <w:pPr>
        <w:pStyle w:val="Heading1"/>
      </w:pPr>
      <w:r>
        <w:t>14. Translation Service</w:t>
      </w:r>
    </w:p>
    <w:p>
      <w:pPr/>
      <w:r>
        <w:rPr>
          <w:rFonts w:ascii="Aptos" w:hAnsi="Aptos"/>
          <w:b/>
          <w:sz w:val="21"/>
        </w:rPr>
        <w:t xml:space="preserve">Responsibility: </w:t>
      </w:r>
      <w:r>
        <w:rPr>
          <w:rFonts w:ascii="Aptos" w:hAnsi="Aptos"/>
          <w:sz w:val="21"/>
        </w:rPr>
        <w:t>Generates planner-ready outputs from canonical facility state plus grounded evidence and deterministic translation rules.</w:t>
      </w:r>
    </w:p>
    <w:p>
      <w:pPr/>
      <w:r>
        <w:rPr>
          <w:rFonts w:ascii="Aptos" w:hAnsi="Aptos"/>
          <w:b/>
          <w:sz w:val="21"/>
        </w:rPr>
        <w:t xml:space="preserve">Output scope: </w:t>
      </w:r>
      <w:r>
        <w:rPr>
          <w:rFonts w:ascii="Aptos" w:hAnsi="Aptos"/>
          <w:sz w:val="21"/>
        </w:rPr>
        <w:t>Steady-state behavior, ZIP load characteristics, dynamic parameters where applicable, load composition, ramping characteristics, review flags, assumptions, missing-information lists, and technical intake packet content.</w:t>
      </w:r>
    </w:p>
    <w:p>
      <w:pPr/>
      <w:r>
        <w:rPr>
          <w:rFonts w:ascii="Aptos" w:hAnsi="Aptos"/>
          <w:b/>
          <w:sz w:val="21"/>
        </w:rPr>
        <w:t xml:space="preserve">Terminology behavior: </w:t>
      </w:r>
      <w:r>
        <w:rPr>
          <w:rFonts w:ascii="Aptos" w:hAnsi="Aptos"/>
          <w:sz w:val="21"/>
        </w:rPr>
        <w:t>The service translates facility-side terminology and context into grid-side planner language and ensures semantically equivalent concepts are exported consistently.</w:t>
      </w:r>
    </w:p>
    <w:p>
      <w:pPr/>
      <w:r>
        <w:rPr>
          <w:rFonts w:ascii="Aptos" w:hAnsi="Aptos"/>
          <w:b/>
          <w:sz w:val="21"/>
        </w:rPr>
        <w:t xml:space="preserve">Output discipline: </w:t>
      </w:r>
      <w:r>
        <w:rPr>
          <w:rFonts w:ascii="Aptos" w:hAnsi="Aptos"/>
          <w:sz w:val="21"/>
        </w:rPr>
        <w:t>Every output must distinguish confirmed values, evidence-backed inferred values, assumptions, unresolved gaps, and review-required conflicts, and must attach rationale and confidence context.</w:t>
      </w:r>
    </w:p>
    <w:p>
      <w:pPr>
        <w:pStyle w:val="Heading1"/>
      </w:pPr>
      <w:r>
        <w:t>15. Scenario Generation Service</w:t>
      </w:r>
    </w:p>
    <w:p>
      <w:pPr/>
      <w:r>
        <w:rPr>
          <w:rFonts w:ascii="Aptos" w:hAnsi="Aptos"/>
          <w:b/>
          <w:sz w:val="21"/>
        </w:rPr>
        <w:t xml:space="preserve">Responsibility: </w:t>
      </w:r>
      <w:r>
        <w:rPr>
          <w:rFonts w:ascii="Aptos" w:hAnsi="Aptos"/>
          <w:sz w:val="21"/>
        </w:rPr>
        <w:t>Produces bounded scenario variants derived from canonical state and documented assumptions.</w:t>
      </w:r>
    </w:p>
    <w:p>
      <w:pPr/>
      <w:r>
        <w:rPr>
          <w:rFonts w:ascii="Aptos" w:hAnsi="Aptos"/>
          <w:b/>
          <w:sz w:val="21"/>
        </w:rPr>
        <w:t xml:space="preserve">Scenario families: </w:t>
      </w:r>
      <w:r>
        <w:rPr>
          <w:rFonts w:ascii="Aptos" w:hAnsi="Aptos"/>
          <w:sz w:val="21"/>
        </w:rPr>
        <w:t>Typical, Conservative, and Best-case, plus variants for build-out phase, equipment redundancy, cooling demand condition, operating assumptions, and ramping behavior where relevant.</w:t>
      </w:r>
    </w:p>
    <w:p>
      <w:pPr/>
      <w:r>
        <w:rPr>
          <w:rFonts w:ascii="Aptos" w:hAnsi="Aptos"/>
          <w:b/>
          <w:sz w:val="21"/>
        </w:rPr>
        <w:t xml:space="preserve">Core functions: </w:t>
      </w:r>
      <w:r>
        <w:rPr>
          <w:rFonts w:ascii="Aptos" w:hAnsi="Aptos"/>
          <w:sz w:val="21"/>
        </w:rPr>
        <w:t>Apply allowed transformations, generate scenario rationale, preserve provenance and confidence for each scenario, and prevent arbitrary unsupported scenario fabrication.</w:t>
      </w:r>
    </w:p>
    <w:p>
      <w:pPr>
        <w:pStyle w:val="Heading1"/>
      </w:pPr>
      <w:r>
        <w:t>16. Export and Versioning Service</w:t>
      </w:r>
    </w:p>
    <w:p>
      <w:pPr/>
      <w:r>
        <w:rPr>
          <w:rFonts w:ascii="Aptos" w:hAnsi="Aptos"/>
          <w:b/>
          <w:sz w:val="21"/>
        </w:rPr>
        <w:t xml:space="preserve">Responsibility: </w:t>
      </w:r>
      <w:r>
        <w:rPr>
          <w:rFonts w:ascii="Aptos" w:hAnsi="Aptos"/>
          <w:sz w:val="21"/>
        </w:rPr>
        <w:t>Packages outputs into planner-usable deliverables and manages versioned rerun artifacts.</w:t>
      </w:r>
    </w:p>
    <w:p>
      <w:pPr/>
      <w:r>
        <w:rPr>
          <w:rFonts w:ascii="Aptos" w:hAnsi="Aptos"/>
          <w:b/>
          <w:sz w:val="21"/>
        </w:rPr>
        <w:t xml:space="preserve">Exports: </w:t>
      </w:r>
      <w:r>
        <w:rPr>
          <w:rFonts w:ascii="Aptos" w:hAnsi="Aptos"/>
          <w:sz w:val="21"/>
        </w:rPr>
        <w:t>Structured JSON aligned to the output schema, plus a human-readable Word or PDF modeling packet.</w:t>
      </w:r>
    </w:p>
    <w:p>
      <w:pPr/>
      <w:r>
        <w:rPr>
          <w:rFonts w:ascii="Aptos" w:hAnsi="Aptos"/>
          <w:b/>
          <w:sz w:val="21"/>
        </w:rPr>
        <w:t xml:space="preserve">Packet content: </w:t>
      </w:r>
      <w:r>
        <w:rPr>
          <w:rFonts w:ascii="Aptos" w:hAnsi="Aptos"/>
          <w:sz w:val="21"/>
        </w:rPr>
        <w:t>Parameters, assumptions, confidence tags, provenance references, unresolved gaps, review-required conflicts, and targeted follow-up requests when modeling-critical fields remain unresolved.</w:t>
      </w:r>
    </w:p>
    <w:p>
      <w:pPr/>
      <w:r>
        <w:rPr>
          <w:rFonts w:ascii="Aptos" w:hAnsi="Aptos"/>
          <w:b/>
          <w:sz w:val="21"/>
        </w:rPr>
        <w:t xml:space="preserve">Versioning behavior: </w:t>
      </w:r>
      <w:r>
        <w:rPr>
          <w:rFonts w:ascii="Aptos" w:hAnsi="Aptos"/>
          <w:sz w:val="21"/>
        </w:rPr>
        <w:t>Every rerun generates a version label, tracks changed inputs, produces a parameter-difference changelog, and links back to the prior canonical-state and export lineage.</w:t>
      </w:r>
    </w:p>
    <w:p>
      <w:pPr>
        <w:pStyle w:val="Heading1"/>
      </w:pPr>
      <w:r>
        <w:t>17. Validation and Calibration Service</w:t>
      </w:r>
    </w:p>
    <w:p>
      <w:pPr/>
      <w:r>
        <w:rPr>
          <w:rFonts w:ascii="Aptos" w:hAnsi="Aptos"/>
          <w:b/>
          <w:sz w:val="21"/>
        </w:rPr>
        <w:t xml:space="preserve">Responsibility: </w:t>
      </w:r>
      <w:r>
        <w:rPr>
          <w:rFonts w:ascii="Aptos" w:hAnsi="Aptos"/>
          <w:sz w:val="21"/>
        </w:rPr>
        <w:t>Supports later-stage refinement using commissioning data, telemetry, or additional engineering evidence.</w:t>
      </w:r>
    </w:p>
    <w:p>
      <w:pPr/>
      <w:r>
        <w:rPr>
          <w:rFonts w:ascii="Aptos" w:hAnsi="Aptos"/>
          <w:b/>
          <w:sz w:val="21"/>
        </w:rPr>
        <w:t xml:space="preserve">Core functions: </w:t>
      </w:r>
      <w:r>
        <w:rPr>
          <w:rFonts w:ascii="Aptos" w:hAnsi="Aptos"/>
          <w:sz w:val="21"/>
        </w:rPr>
        <w:t>Ingest later evidence, compare modeled assumptions with observed behavior, update canonical state in a controlled manner, regenerate impacted parameters and scenarios, preserve prior assumptions and superseded values, and maintain auditability.</w:t>
      </w:r>
    </w:p>
    <w:p>
      <w:pPr/>
      <w:r>
        <w:rPr>
          <w:rFonts w:ascii="Aptos" w:hAnsi="Aptos"/>
          <w:b/>
          <w:sz w:val="21"/>
        </w:rPr>
        <w:t xml:space="preserve">Review behavior: </w:t>
      </w:r>
      <w:r>
        <w:rPr>
          <w:rFonts w:ascii="Aptos" w:hAnsi="Aptos"/>
          <w:sz w:val="21"/>
        </w:rPr>
        <w:t>The workflow supports planner or engineering review of unresolved assumptions and conflicts before final publication of updated exports.</w:t>
      </w:r>
    </w:p>
    <w:p>
      <w:pPr>
        <w:pStyle w:val="Heading1"/>
      </w:pPr>
      <w:r>
        <w:t>18. Governance, Audit, and Security Architecture</w:t>
      </w:r>
    </w:p>
    <w:p>
      <w:pPr/>
      <w:r>
        <w:rPr>
          <w:rFonts w:ascii="Aptos" w:hAnsi="Aptos"/>
          <w:b/>
          <w:sz w:val="21"/>
        </w:rPr>
        <w:t xml:space="preserve">Responsibility: </w:t>
      </w:r>
      <w:r>
        <w:rPr>
          <w:rFonts w:ascii="Aptos" w:hAnsi="Aptos"/>
          <w:sz w:val="21"/>
        </w:rPr>
        <w:t>Implements cross-cutting controls for security, governance, retention, and auditability across all services.</w:t>
      </w:r>
    </w:p>
    <w:p>
      <w:pPr/>
      <w:r>
        <w:rPr>
          <w:rFonts w:ascii="Aptos" w:hAnsi="Aptos"/>
          <w:b/>
          <w:sz w:val="21"/>
        </w:rPr>
        <w:t xml:space="preserve">Security controls: </w:t>
      </w:r>
      <w:r>
        <w:rPr>
          <w:rFonts w:ascii="Aptos" w:hAnsi="Aptos"/>
          <w:sz w:val="21"/>
        </w:rPr>
        <w:t>Least-privilege RBAC, encryption in transit and at rest, project-level isolation, secure handling of tokens and secrets, and controlled access to artifacts, canonical state, and exports.</w:t>
      </w:r>
    </w:p>
    <w:p>
      <w:pPr/>
      <w:r>
        <w:rPr>
          <w:rFonts w:ascii="Aptos" w:hAnsi="Aptos"/>
          <w:b/>
          <w:sz w:val="21"/>
        </w:rPr>
        <w:t xml:space="preserve">Audit controls: </w:t>
      </w:r>
      <w:r>
        <w:rPr>
          <w:rFonts w:ascii="Aptos" w:hAnsi="Aptos"/>
          <w:sz w:val="21"/>
        </w:rPr>
        <w:t>Logs access events, intake actions, LLM-governance events, retrieval activity, validation outcomes, translation runs, exports, and version changes.</w:t>
      </w:r>
    </w:p>
    <w:p>
      <w:pPr/>
      <w:r>
        <w:rPr>
          <w:rFonts w:ascii="Aptos" w:hAnsi="Aptos"/>
          <w:b/>
          <w:sz w:val="21"/>
        </w:rPr>
        <w:t xml:space="preserve">Governance controls: </w:t>
      </w:r>
      <w:r>
        <w:rPr>
          <w:rFonts w:ascii="Aptos" w:hAnsi="Aptos"/>
          <w:sz w:val="21"/>
        </w:rPr>
        <w:t>Structured intake state, run-governance metadata, prompt-governance metadata, retention/deletion policy enforcement, and prohibition on using raw conversational history as the primary reasoning substrate for production outputs.</w:t>
      </w:r>
    </w:p>
    <w:p>
      <w:pPr>
        <w:pStyle w:val="Heading1"/>
      </w:pPr>
      <w:r>
        <w:t>19. Component Interfaces and Shared Schemas</w:t>
      </w:r>
    </w:p>
    <w:p>
      <w:pPr/>
      <w:r>
        <w:rPr>
          <w:rFonts w:ascii="Aptos" w:hAnsi="Aptos"/>
          <w:sz w:val="21"/>
        </w:rPr>
        <w:t>All components communicate through governed, schema-aligned interfaces. The design assumes the following shared artifacts are authoritative at interface boundaries: GridSenpAI input schema, canonical facility state representation, domain ontology mappings, validation report structure, evidence bundle structure, output schema, scenario-set structure, export manifest, and run-lineage metadata.</w:t>
      </w:r>
    </w:p>
    <w:tbl>
      <w:tblPr>
        <w:tblStyle w:val="TableGrid"/>
        <w:tblW w:type="auto" w:w="0"/>
        <w:jc w:val="center"/>
        <w:tblLook w:firstColumn="1" w:firstRow="1" w:lastColumn="0" w:lastRow="0" w:noHBand="0" w:noVBand="1" w:val="04A0"/>
      </w:tblPr>
      <w:tblGrid>
        <w:gridCol w:w="2304"/>
        <w:gridCol w:w="2592"/>
        <w:gridCol w:w="2304"/>
        <w:gridCol w:w="2448"/>
      </w:tblGrid>
      <w:tr>
        <w:tc>
          <w:tcPr>
            <w:tcW w:type="dxa" w:w="2448"/>
            <w:shd w:fill="D9EAF7"/>
            <w:vAlign w:val="center"/>
          </w:tcPr>
          <w:p>
            <w:pPr>
              <w:jc w:val="center"/>
            </w:pPr>
            <w:r/>
            <w:r>
              <w:rPr>
                <w:rFonts w:ascii="Aptos" w:hAnsi="Aptos"/>
                <w:b/>
                <w:color w:val="000000"/>
                <w:sz w:val="20"/>
              </w:rPr>
              <w:t>Producer</w:t>
            </w:r>
          </w:p>
        </w:tc>
        <w:tc>
          <w:tcPr>
            <w:tcW w:type="dxa" w:w="2448"/>
            <w:shd w:fill="D9EAF7"/>
            <w:vAlign w:val="center"/>
          </w:tcPr>
          <w:p>
            <w:pPr>
              <w:jc w:val="center"/>
            </w:pPr>
            <w:r/>
            <w:r>
              <w:rPr>
                <w:rFonts w:ascii="Aptos" w:hAnsi="Aptos"/>
                <w:b/>
                <w:color w:val="000000"/>
                <w:sz w:val="20"/>
              </w:rPr>
              <w:t>Consumer</w:t>
            </w:r>
          </w:p>
        </w:tc>
        <w:tc>
          <w:tcPr>
            <w:tcW w:type="dxa" w:w="2448"/>
            <w:shd w:fill="D9EAF7"/>
            <w:vAlign w:val="center"/>
          </w:tcPr>
          <w:p>
            <w:pPr>
              <w:jc w:val="center"/>
            </w:pPr>
            <w:r/>
            <w:r>
              <w:rPr>
                <w:rFonts w:ascii="Aptos" w:hAnsi="Aptos"/>
                <w:b/>
                <w:color w:val="000000"/>
                <w:sz w:val="20"/>
              </w:rPr>
              <w:t>Payload</w:t>
            </w:r>
          </w:p>
        </w:tc>
        <w:tc>
          <w:tcPr>
            <w:tcW w:type="dxa" w:w="2448"/>
            <w:shd w:fill="D9EAF7"/>
            <w:vAlign w:val="center"/>
          </w:tcPr>
          <w:p>
            <w:pPr>
              <w:jc w:val="center"/>
            </w:pPr>
            <w:r/>
            <w:r>
              <w:rPr>
                <w:rFonts w:ascii="Aptos" w:hAnsi="Aptos"/>
                <w:b/>
                <w:color w:val="000000"/>
                <w:sz w:val="20"/>
              </w:rPr>
              <w:t>Key Control Rule</w:t>
            </w:r>
          </w:p>
        </w:tc>
      </w:tr>
      <w:tr>
        <w:tc>
          <w:tcPr>
            <w:tcW w:type="dxa" w:w="2304"/>
            <w:vAlign w:val="center"/>
          </w:tcPr>
          <w:p>
            <w:r/>
            <w:r>
              <w:rPr>
                <w:rFonts w:ascii="Aptos" w:hAnsi="Aptos"/>
                <w:b w:val="0"/>
                <w:color w:val="000000"/>
                <w:sz w:val="18"/>
              </w:rPr>
              <w:t>Ingestion</w:t>
            </w:r>
          </w:p>
        </w:tc>
        <w:tc>
          <w:tcPr>
            <w:tcW w:type="dxa" w:w="2592"/>
            <w:vAlign w:val="center"/>
          </w:tcPr>
          <w:p>
            <w:r/>
            <w:r>
              <w:rPr>
                <w:rFonts w:ascii="Aptos" w:hAnsi="Aptos"/>
                <w:b w:val="0"/>
                <w:color w:val="000000"/>
                <w:sz w:val="18"/>
              </w:rPr>
              <w:t>Extraction</w:t>
            </w:r>
          </w:p>
        </w:tc>
        <w:tc>
          <w:tcPr>
            <w:tcW w:type="dxa" w:w="2304"/>
            <w:vAlign w:val="center"/>
          </w:tcPr>
          <w:p>
            <w:r/>
            <w:r>
              <w:rPr>
                <w:rFonts w:ascii="Aptos" w:hAnsi="Aptos"/>
                <w:b w:val="0"/>
                <w:color w:val="000000"/>
                <w:sz w:val="18"/>
              </w:rPr>
              <w:t>Artifact package + anchors</w:t>
            </w:r>
          </w:p>
        </w:tc>
        <w:tc>
          <w:tcPr>
            <w:tcW w:type="dxa" w:w="2448"/>
            <w:vAlign w:val="center"/>
          </w:tcPr>
          <w:p>
            <w:r/>
            <w:r>
              <w:rPr>
                <w:rFonts w:ascii="Aptos" w:hAnsi="Aptos"/>
                <w:b w:val="0"/>
                <w:color w:val="000000"/>
                <w:sz w:val="18"/>
              </w:rPr>
              <w:t>Must preserve source fidelity and linkage</w:t>
            </w:r>
          </w:p>
        </w:tc>
      </w:tr>
      <w:tr>
        <w:tc>
          <w:tcPr>
            <w:tcW w:type="dxa" w:w="2304"/>
            <w:vAlign w:val="center"/>
          </w:tcPr>
          <w:p>
            <w:r/>
            <w:r>
              <w:rPr>
                <w:rFonts w:ascii="Aptos" w:hAnsi="Aptos"/>
                <w:b w:val="0"/>
                <w:color w:val="000000"/>
                <w:sz w:val="18"/>
              </w:rPr>
              <w:t>Extraction</w:t>
            </w:r>
          </w:p>
        </w:tc>
        <w:tc>
          <w:tcPr>
            <w:tcW w:type="dxa" w:w="2592"/>
            <w:vAlign w:val="center"/>
          </w:tcPr>
          <w:p>
            <w:r/>
            <w:r>
              <w:rPr>
                <w:rFonts w:ascii="Aptos" w:hAnsi="Aptos"/>
                <w:b w:val="0"/>
                <w:color w:val="000000"/>
                <w:sz w:val="18"/>
              </w:rPr>
              <w:t>Normalization</w:t>
            </w:r>
          </w:p>
        </w:tc>
        <w:tc>
          <w:tcPr>
            <w:tcW w:type="dxa" w:w="2304"/>
            <w:vAlign w:val="center"/>
          </w:tcPr>
          <w:p>
            <w:r/>
            <w:r>
              <w:rPr>
                <w:rFonts w:ascii="Aptos" w:hAnsi="Aptos"/>
                <w:b w:val="0"/>
                <w:color w:val="000000"/>
                <w:sz w:val="18"/>
              </w:rPr>
              <w:t>Structured extraction object</w:t>
            </w:r>
          </w:p>
        </w:tc>
        <w:tc>
          <w:tcPr>
            <w:tcW w:type="dxa" w:w="2448"/>
            <w:vAlign w:val="center"/>
          </w:tcPr>
          <w:p>
            <w:r/>
            <w:r>
              <w:rPr>
                <w:rFonts w:ascii="Aptos" w:hAnsi="Aptos"/>
                <w:b w:val="0"/>
                <w:color w:val="000000"/>
                <w:sz w:val="18"/>
              </w:rPr>
              <w:t>Must include ontology IDs and evidence anchors</w:t>
            </w:r>
          </w:p>
        </w:tc>
      </w:tr>
      <w:tr>
        <w:tc>
          <w:tcPr>
            <w:tcW w:type="dxa" w:w="2304"/>
            <w:vAlign w:val="center"/>
          </w:tcPr>
          <w:p>
            <w:r/>
            <w:r>
              <w:rPr>
                <w:rFonts w:ascii="Aptos" w:hAnsi="Aptos"/>
                <w:b w:val="0"/>
                <w:color w:val="000000"/>
                <w:sz w:val="18"/>
              </w:rPr>
              <w:t>Interview Intake</w:t>
            </w:r>
          </w:p>
        </w:tc>
        <w:tc>
          <w:tcPr>
            <w:tcW w:type="dxa" w:w="2592"/>
            <w:vAlign w:val="center"/>
          </w:tcPr>
          <w:p>
            <w:r/>
            <w:r>
              <w:rPr>
                <w:rFonts w:ascii="Aptos" w:hAnsi="Aptos"/>
                <w:b w:val="0"/>
                <w:color w:val="000000"/>
                <w:sz w:val="18"/>
              </w:rPr>
              <w:t>Normalization</w:t>
            </w:r>
          </w:p>
        </w:tc>
        <w:tc>
          <w:tcPr>
            <w:tcW w:type="dxa" w:w="2304"/>
            <w:vAlign w:val="center"/>
          </w:tcPr>
          <w:p>
            <w:r/>
            <w:r>
              <w:rPr>
                <w:rFonts w:ascii="Aptos" w:hAnsi="Aptos"/>
                <w:b w:val="0"/>
                <w:color w:val="000000"/>
                <w:sz w:val="18"/>
              </w:rPr>
              <w:t>Structured answer set</w:t>
            </w:r>
          </w:p>
        </w:tc>
        <w:tc>
          <w:tcPr>
            <w:tcW w:type="dxa" w:w="2448"/>
            <w:vAlign w:val="center"/>
          </w:tcPr>
          <w:p>
            <w:r/>
            <w:r>
              <w:rPr>
                <w:rFonts w:ascii="Aptos" w:hAnsi="Aptos"/>
                <w:b w:val="0"/>
                <w:color w:val="000000"/>
                <w:sz w:val="18"/>
              </w:rPr>
              <w:t>Must include field IDs, timestamps, and provenance</w:t>
            </w:r>
          </w:p>
        </w:tc>
      </w:tr>
      <w:tr>
        <w:tc>
          <w:tcPr>
            <w:tcW w:type="dxa" w:w="2304"/>
            <w:vAlign w:val="center"/>
          </w:tcPr>
          <w:p>
            <w:r/>
            <w:r>
              <w:rPr>
                <w:rFonts w:ascii="Aptos" w:hAnsi="Aptos"/>
                <w:b w:val="0"/>
                <w:color w:val="000000"/>
                <w:sz w:val="18"/>
              </w:rPr>
              <w:t>Retrieval</w:t>
            </w:r>
          </w:p>
        </w:tc>
        <w:tc>
          <w:tcPr>
            <w:tcW w:type="dxa" w:w="2592"/>
            <w:vAlign w:val="center"/>
          </w:tcPr>
          <w:p>
            <w:r/>
            <w:r>
              <w:rPr>
                <w:rFonts w:ascii="Aptos" w:hAnsi="Aptos"/>
                <w:b w:val="0"/>
                <w:color w:val="000000"/>
                <w:sz w:val="18"/>
              </w:rPr>
              <w:t>Translation / Validation</w:t>
            </w:r>
          </w:p>
        </w:tc>
        <w:tc>
          <w:tcPr>
            <w:tcW w:type="dxa" w:w="2304"/>
            <w:vAlign w:val="center"/>
          </w:tcPr>
          <w:p>
            <w:r/>
            <w:r>
              <w:rPr>
                <w:rFonts w:ascii="Aptos" w:hAnsi="Aptos"/>
                <w:b w:val="0"/>
                <w:color w:val="000000"/>
                <w:sz w:val="18"/>
              </w:rPr>
              <w:t>Typed evidence bundle</w:t>
            </w:r>
          </w:p>
        </w:tc>
        <w:tc>
          <w:tcPr>
            <w:tcW w:type="dxa" w:w="2448"/>
            <w:vAlign w:val="center"/>
          </w:tcPr>
          <w:p>
            <w:r/>
            <w:r>
              <w:rPr>
                <w:rFonts w:ascii="Aptos" w:hAnsi="Aptos"/>
                <w:b w:val="0"/>
                <w:color w:val="000000"/>
                <w:sz w:val="18"/>
              </w:rPr>
              <w:t>Must record source family and snippet anchors</w:t>
            </w:r>
          </w:p>
        </w:tc>
      </w:tr>
      <w:tr>
        <w:tc>
          <w:tcPr>
            <w:tcW w:type="dxa" w:w="2304"/>
            <w:vAlign w:val="center"/>
          </w:tcPr>
          <w:p>
            <w:r/>
            <w:r>
              <w:rPr>
                <w:rFonts w:ascii="Aptos" w:hAnsi="Aptos"/>
                <w:b w:val="0"/>
                <w:color w:val="000000"/>
                <w:sz w:val="18"/>
              </w:rPr>
              <w:t>Normalization</w:t>
            </w:r>
          </w:p>
        </w:tc>
        <w:tc>
          <w:tcPr>
            <w:tcW w:type="dxa" w:w="2592"/>
            <w:vAlign w:val="center"/>
          </w:tcPr>
          <w:p>
            <w:r/>
            <w:r>
              <w:rPr>
                <w:rFonts w:ascii="Aptos" w:hAnsi="Aptos"/>
                <w:b w:val="0"/>
                <w:color w:val="000000"/>
                <w:sz w:val="18"/>
              </w:rPr>
              <w:t>Canonical State</w:t>
            </w:r>
          </w:p>
        </w:tc>
        <w:tc>
          <w:tcPr>
            <w:tcW w:type="dxa" w:w="2304"/>
            <w:vAlign w:val="center"/>
          </w:tcPr>
          <w:p>
            <w:r/>
            <w:r>
              <w:rPr>
                <w:rFonts w:ascii="Aptos" w:hAnsi="Aptos"/>
                <w:b w:val="0"/>
                <w:color w:val="000000"/>
                <w:sz w:val="18"/>
              </w:rPr>
              <w:t>Validated field update set</w:t>
            </w:r>
          </w:p>
        </w:tc>
        <w:tc>
          <w:tcPr>
            <w:tcW w:type="dxa" w:w="2448"/>
            <w:vAlign w:val="center"/>
          </w:tcPr>
          <w:p>
            <w:r/>
            <w:r>
              <w:rPr>
                <w:rFonts w:ascii="Aptos" w:hAnsi="Aptos"/>
                <w:b w:val="0"/>
                <w:color w:val="000000"/>
                <w:sz w:val="18"/>
              </w:rPr>
              <w:t>Only validated values may merge</w:t>
            </w:r>
          </w:p>
        </w:tc>
      </w:tr>
      <w:tr>
        <w:tc>
          <w:tcPr>
            <w:tcW w:type="dxa" w:w="2304"/>
            <w:vAlign w:val="center"/>
          </w:tcPr>
          <w:p>
            <w:r/>
            <w:r>
              <w:rPr>
                <w:rFonts w:ascii="Aptos" w:hAnsi="Aptos"/>
                <w:b w:val="0"/>
                <w:color w:val="000000"/>
                <w:sz w:val="18"/>
              </w:rPr>
              <w:t>Canonical State</w:t>
            </w:r>
          </w:p>
        </w:tc>
        <w:tc>
          <w:tcPr>
            <w:tcW w:type="dxa" w:w="2592"/>
            <w:vAlign w:val="center"/>
          </w:tcPr>
          <w:p>
            <w:r/>
            <w:r>
              <w:rPr>
                <w:rFonts w:ascii="Aptos" w:hAnsi="Aptos"/>
                <w:b w:val="0"/>
                <w:color w:val="000000"/>
                <w:sz w:val="18"/>
              </w:rPr>
              <w:t>Translation / Scenario / Export</w:t>
            </w:r>
          </w:p>
        </w:tc>
        <w:tc>
          <w:tcPr>
            <w:tcW w:type="dxa" w:w="2304"/>
            <w:vAlign w:val="center"/>
          </w:tcPr>
          <w:p>
            <w:r/>
            <w:r>
              <w:rPr>
                <w:rFonts w:ascii="Aptos" w:hAnsi="Aptos"/>
                <w:b w:val="0"/>
                <w:color w:val="000000"/>
                <w:sz w:val="18"/>
              </w:rPr>
              <w:t>Canonical state snapshot</w:t>
            </w:r>
          </w:p>
        </w:tc>
        <w:tc>
          <w:tcPr>
            <w:tcW w:type="dxa" w:w="2448"/>
            <w:vAlign w:val="center"/>
          </w:tcPr>
          <w:p>
            <w:r/>
            <w:r>
              <w:rPr>
                <w:rFonts w:ascii="Aptos" w:hAnsi="Aptos"/>
                <w:b w:val="0"/>
                <w:color w:val="000000"/>
                <w:sz w:val="18"/>
              </w:rPr>
              <w:t>Downstream processing must consume canonical state, not raw sources</w:t>
            </w:r>
          </w:p>
        </w:tc>
      </w:tr>
      <w:tr>
        <w:tc>
          <w:tcPr>
            <w:tcW w:type="dxa" w:w="2304"/>
            <w:vAlign w:val="center"/>
          </w:tcPr>
          <w:p>
            <w:r/>
            <w:r>
              <w:rPr>
                <w:rFonts w:ascii="Aptos" w:hAnsi="Aptos"/>
                <w:b w:val="0"/>
                <w:color w:val="000000"/>
                <w:sz w:val="18"/>
              </w:rPr>
              <w:t>Translation / Scenario</w:t>
            </w:r>
          </w:p>
        </w:tc>
        <w:tc>
          <w:tcPr>
            <w:tcW w:type="dxa" w:w="2592"/>
            <w:vAlign w:val="center"/>
          </w:tcPr>
          <w:p>
            <w:r/>
            <w:r>
              <w:rPr>
                <w:rFonts w:ascii="Aptos" w:hAnsi="Aptos"/>
                <w:b w:val="0"/>
                <w:color w:val="000000"/>
                <w:sz w:val="18"/>
              </w:rPr>
              <w:t>Export</w:t>
            </w:r>
          </w:p>
        </w:tc>
        <w:tc>
          <w:tcPr>
            <w:tcW w:type="dxa" w:w="2304"/>
            <w:vAlign w:val="center"/>
          </w:tcPr>
          <w:p>
            <w:r/>
            <w:r>
              <w:rPr>
                <w:rFonts w:ascii="Aptos" w:hAnsi="Aptos"/>
                <w:b w:val="0"/>
                <w:color w:val="000000"/>
                <w:sz w:val="18"/>
              </w:rPr>
              <w:t>Output package</w:t>
            </w:r>
          </w:p>
        </w:tc>
        <w:tc>
          <w:tcPr>
            <w:tcW w:type="dxa" w:w="2448"/>
            <w:vAlign w:val="center"/>
          </w:tcPr>
          <w:p>
            <w:r/>
            <w:r>
              <w:rPr>
                <w:rFonts w:ascii="Aptos" w:hAnsi="Aptos"/>
                <w:b w:val="0"/>
                <w:color w:val="000000"/>
                <w:sz w:val="18"/>
              </w:rPr>
              <w:t>Must distinguish confirmed, inferred, assumed, gap, and conflict states</w:t>
            </w:r>
          </w:p>
        </w:tc>
      </w:tr>
    </w:tbl>
    <w:p>
      <w:pPr>
        <w:pStyle w:val="Heading1"/>
      </w:pPr>
      <w:r>
        <w:t>20. Conflict Management Design</w:t>
      </w:r>
    </w:p>
    <w:p>
      <w:pPr/>
      <w:r>
        <w:rPr>
          <w:rFonts w:ascii="Aptos" w:hAnsi="Aptos"/>
          <w:sz w:val="21"/>
        </w:rPr>
        <w:t>Conflict management is a first-class architectural behavior, not an incidental validation note. Contradictions may arise among artifact-derived values, interview responses, retrieval references, or later calibration evidence. The system shall detect such contradictions, preserve them in canonical state and run records, surface them in planner-facing outputs, and route them for clarification or review rather than silently selecting a single unsupported value.</w:t>
      </w:r>
    </w:p>
    <w:p>
      <w:pPr>
        <w:pStyle w:val="ListBullet"/>
        <w:ind w:left="0"/>
      </w:pPr>
      <w:r>
        <w:t>Conflict detection occurs during normalization and deterministic validation.</w:t>
      </w:r>
    </w:p>
    <w:p>
      <w:pPr>
        <w:pStyle w:val="ListBullet"/>
        <w:ind w:left="0"/>
      </w:pPr>
      <w:r>
        <w:t>Conflict state persists as field metadata in canonical state.</w:t>
      </w:r>
    </w:p>
    <w:p>
      <w:pPr>
        <w:pStyle w:val="ListBullet"/>
        <w:ind w:left="0"/>
      </w:pPr>
      <w:r>
        <w:t>Conflicts lower confidence and may create review-required flags.</w:t>
      </w:r>
    </w:p>
    <w:p>
      <w:pPr>
        <w:pStyle w:val="ListBullet"/>
        <w:ind w:left="0"/>
      </w:pPr>
      <w:r>
        <w:t>Exports must surface unresolved conflicts explicitly.</w:t>
      </w:r>
    </w:p>
    <w:p>
      <w:pPr>
        <w:pStyle w:val="ListBullet"/>
        <w:ind w:left="0"/>
      </w:pPr>
      <w:r>
        <w:t>Resolution requires deterministic acceptance of a clarified or superseding value, not silent overwrite.</w:t>
      </w:r>
    </w:p>
    <w:p>
      <w:pPr>
        <w:pStyle w:val="Heading1"/>
      </w:pPr>
      <w:r>
        <w:t>21. Run Lineage, Replay, and Reproducibility Model</w:t>
      </w:r>
    </w:p>
    <w:p>
      <w:pPr/>
      <w:r>
        <w:rPr>
          <w:rFonts w:ascii="Aptos" w:hAnsi="Aptos"/>
          <w:sz w:val="21"/>
        </w:rPr>
        <w:t>Each pipeline execution is represented as a run object that preserves enough information to reproduce outputs within documented tolerance. Run lineage includes project context, pinned configuration, artifact sets, intake state snapshot, canonical facility state snapshot, evidence bundles, translation outputs, scenario outputs, export artifacts, and changelog links to predecessor runs.</w:t>
      </w:r>
    </w:p>
    <w:p>
      <w:pPr>
        <w:pStyle w:val="ListBullet"/>
        <w:ind w:left="0"/>
      </w:pPr>
      <w:r>
        <w:t>Pinned configuration and schema version identifiers are stored with the run.</w:t>
      </w:r>
    </w:p>
    <w:p>
      <w:pPr>
        <w:pStyle w:val="ListBullet"/>
        <w:ind w:left="0"/>
      </w:pPr>
      <w:r>
        <w:t>Canonical state snapshots or equivalent lineage deltas are preserved.</w:t>
      </w:r>
    </w:p>
    <w:p>
      <w:pPr>
        <w:pStyle w:val="ListBullet"/>
        <w:ind w:left="0"/>
      </w:pPr>
      <w:r>
        <w:t>Output regeneration uses the same deterministic validation and translation logic.</w:t>
      </w:r>
    </w:p>
    <w:p>
      <w:pPr>
        <w:pStyle w:val="ListBullet"/>
        <w:ind w:left="0"/>
      </w:pPr>
      <w:r>
        <w:t>Reruns produce version labels and parameter-difference reports.</w:t>
      </w:r>
    </w:p>
    <w:p>
      <w:pPr>
        <w:pStyle w:val="ListBullet"/>
        <w:ind w:left="0"/>
      </w:pPr>
      <w:r>
        <w:t>Superseded runs remain auditable and replayable for review.</w:t>
      </w:r>
    </w:p>
    <w:p>
      <w:pPr>
        <w:pStyle w:val="Heading1"/>
      </w:pPr>
      <w:r>
        <w:t>22. Non-Functional Requirement Implementation Notes</w:t>
      </w:r>
    </w:p>
    <w:tbl>
      <w:tblPr>
        <w:tblStyle w:val="TableGrid"/>
        <w:tblW w:type="auto" w:w="0"/>
        <w:jc w:val="center"/>
        <w:tblLook w:firstColumn="1" w:firstRow="1" w:lastColumn="0" w:lastRow="0" w:noHBand="0" w:noVBand="1" w:val="04A0"/>
      </w:tblPr>
      <w:tblGrid>
        <w:gridCol w:w="2592"/>
        <w:gridCol w:w="6768"/>
      </w:tblGrid>
      <w:tr>
        <w:tc>
          <w:tcPr>
            <w:tcW w:type="dxa" w:w="4896"/>
            <w:shd w:fill="D9EAF7"/>
            <w:vAlign w:val="center"/>
          </w:tcPr>
          <w:p>
            <w:pPr>
              <w:jc w:val="center"/>
            </w:pPr>
            <w:r/>
            <w:r>
              <w:rPr>
                <w:rFonts w:ascii="Aptos" w:hAnsi="Aptos"/>
                <w:b/>
                <w:color w:val="000000"/>
                <w:sz w:val="20"/>
              </w:rPr>
              <w:t>NFR Area</w:t>
            </w:r>
          </w:p>
        </w:tc>
        <w:tc>
          <w:tcPr>
            <w:tcW w:type="dxa" w:w="4896"/>
            <w:shd w:fill="D9EAF7"/>
            <w:vAlign w:val="center"/>
          </w:tcPr>
          <w:p>
            <w:pPr>
              <w:jc w:val="center"/>
            </w:pPr>
            <w:r/>
            <w:r>
              <w:rPr>
                <w:rFonts w:ascii="Aptos" w:hAnsi="Aptos"/>
                <w:b/>
                <w:color w:val="000000"/>
                <w:sz w:val="20"/>
              </w:rPr>
              <w:t>Implementation Design Response</w:t>
            </w:r>
          </w:p>
        </w:tc>
      </w:tr>
      <w:tr>
        <w:tc>
          <w:tcPr>
            <w:tcW w:type="dxa" w:w="2592"/>
            <w:vAlign w:val="center"/>
          </w:tcPr>
          <w:p>
            <w:r/>
            <w:r>
              <w:rPr>
                <w:rFonts w:ascii="Aptos" w:hAnsi="Aptos"/>
                <w:b/>
                <w:color w:val="000000"/>
                <w:sz w:val="19"/>
              </w:rPr>
              <w:t>Security</w:t>
            </w:r>
          </w:p>
        </w:tc>
        <w:tc>
          <w:tcPr>
            <w:tcW w:type="dxa" w:w="6768"/>
            <w:vAlign w:val="center"/>
          </w:tcPr>
          <w:p>
            <w:r/>
            <w:r>
              <w:rPr>
                <w:rFonts w:ascii="Aptos" w:hAnsi="Aptos"/>
                <w:b w:val="0"/>
                <w:color w:val="000000"/>
                <w:sz w:val="19"/>
              </w:rPr>
              <w:t>Implemented through RBAC, encryption, project isolation, and secrets management controls.</w:t>
            </w:r>
          </w:p>
        </w:tc>
      </w:tr>
      <w:tr>
        <w:tc>
          <w:tcPr>
            <w:tcW w:type="dxa" w:w="2592"/>
            <w:vAlign w:val="center"/>
          </w:tcPr>
          <w:p>
            <w:r/>
            <w:r>
              <w:rPr>
                <w:rFonts w:ascii="Aptos" w:hAnsi="Aptos"/>
                <w:b/>
                <w:color w:val="000000"/>
                <w:sz w:val="19"/>
              </w:rPr>
              <w:t>Auditability</w:t>
            </w:r>
          </w:p>
        </w:tc>
        <w:tc>
          <w:tcPr>
            <w:tcW w:type="dxa" w:w="6768"/>
            <w:vAlign w:val="center"/>
          </w:tcPr>
          <w:p>
            <w:r/>
            <w:r>
              <w:rPr>
                <w:rFonts w:ascii="Aptos" w:hAnsi="Aptos"/>
                <w:b w:val="0"/>
                <w:color w:val="000000"/>
                <w:sz w:val="19"/>
              </w:rPr>
              <w:t>Implemented through centralized event logging for access, intake, governance, runs, exports, and version changes.</w:t>
            </w:r>
          </w:p>
        </w:tc>
      </w:tr>
      <w:tr>
        <w:tc>
          <w:tcPr>
            <w:tcW w:type="dxa" w:w="2592"/>
            <w:vAlign w:val="center"/>
          </w:tcPr>
          <w:p>
            <w:r/>
            <w:r>
              <w:rPr>
                <w:rFonts w:ascii="Aptos" w:hAnsi="Aptos"/>
                <w:b/>
                <w:color w:val="000000"/>
                <w:sz w:val="19"/>
              </w:rPr>
              <w:t>Traceability</w:t>
            </w:r>
          </w:p>
        </w:tc>
        <w:tc>
          <w:tcPr>
            <w:tcW w:type="dxa" w:w="6768"/>
            <w:vAlign w:val="center"/>
          </w:tcPr>
          <w:p>
            <w:r/>
            <w:r>
              <w:rPr>
                <w:rFonts w:ascii="Aptos" w:hAnsi="Aptos"/>
                <w:b w:val="0"/>
                <w:color w:val="000000"/>
                <w:sz w:val="19"/>
              </w:rPr>
              <w:t>Implemented through anchors, typed evidence bundles, rule identifiers, assumption records, and conflict-state propagation.</w:t>
            </w:r>
          </w:p>
        </w:tc>
      </w:tr>
      <w:tr>
        <w:tc>
          <w:tcPr>
            <w:tcW w:type="dxa" w:w="2592"/>
            <w:vAlign w:val="center"/>
          </w:tcPr>
          <w:p>
            <w:r/>
            <w:r>
              <w:rPr>
                <w:rFonts w:ascii="Aptos" w:hAnsi="Aptos"/>
                <w:b/>
                <w:color w:val="000000"/>
                <w:sz w:val="19"/>
              </w:rPr>
              <w:t>Reproducibility</w:t>
            </w:r>
          </w:p>
        </w:tc>
        <w:tc>
          <w:tcPr>
            <w:tcW w:type="dxa" w:w="6768"/>
            <w:vAlign w:val="center"/>
          </w:tcPr>
          <w:p>
            <w:r/>
            <w:r>
              <w:rPr>
                <w:rFonts w:ascii="Aptos" w:hAnsi="Aptos"/>
                <w:b w:val="0"/>
                <w:color w:val="000000"/>
                <w:sz w:val="19"/>
              </w:rPr>
              <w:t>Implemented through pinned configuration, canonical snapshots, versioned runs, and replay support.</w:t>
            </w:r>
          </w:p>
        </w:tc>
      </w:tr>
      <w:tr>
        <w:tc>
          <w:tcPr>
            <w:tcW w:type="dxa" w:w="2592"/>
            <w:vAlign w:val="center"/>
          </w:tcPr>
          <w:p>
            <w:r/>
            <w:r>
              <w:rPr>
                <w:rFonts w:ascii="Aptos" w:hAnsi="Aptos"/>
                <w:b/>
                <w:color w:val="000000"/>
                <w:sz w:val="19"/>
              </w:rPr>
              <w:t>Governed AI</w:t>
            </w:r>
          </w:p>
        </w:tc>
        <w:tc>
          <w:tcPr>
            <w:tcW w:type="dxa" w:w="6768"/>
            <w:vAlign w:val="center"/>
          </w:tcPr>
          <w:p>
            <w:r/>
            <w:r>
              <w:rPr>
                <w:rFonts w:ascii="Aptos" w:hAnsi="Aptos"/>
                <w:b w:val="0"/>
                <w:color w:val="000000"/>
                <w:sz w:val="19"/>
              </w:rPr>
              <w:t>Implemented through bounded use cases, prompt/run governance metadata, and deterministic acceptance gates.</w:t>
            </w:r>
          </w:p>
        </w:tc>
      </w:tr>
      <w:tr>
        <w:tc>
          <w:tcPr>
            <w:tcW w:type="dxa" w:w="2592"/>
            <w:vAlign w:val="center"/>
          </w:tcPr>
          <w:p>
            <w:r/>
            <w:r>
              <w:rPr>
                <w:rFonts w:ascii="Aptos" w:hAnsi="Aptos"/>
                <w:b/>
                <w:color w:val="000000"/>
                <w:sz w:val="19"/>
              </w:rPr>
              <w:t>Data persistence and retention</w:t>
            </w:r>
          </w:p>
        </w:tc>
        <w:tc>
          <w:tcPr>
            <w:tcW w:type="dxa" w:w="6768"/>
            <w:vAlign w:val="center"/>
          </w:tcPr>
          <w:p>
            <w:r/>
            <w:r>
              <w:rPr>
                <w:rFonts w:ascii="Aptos" w:hAnsi="Aptos"/>
                <w:b w:val="0"/>
                <w:color w:val="000000"/>
                <w:sz w:val="19"/>
              </w:rPr>
              <w:t>Implemented through durable storage of canonical-state, lineage, and export records with configurable retention and deletion policy support.</w:t>
            </w:r>
          </w:p>
        </w:tc>
      </w:tr>
      <w:tr>
        <w:tc>
          <w:tcPr>
            <w:tcW w:type="dxa" w:w="2592"/>
            <w:vAlign w:val="center"/>
          </w:tcPr>
          <w:p>
            <w:r/>
            <w:r>
              <w:rPr>
                <w:rFonts w:ascii="Aptos" w:hAnsi="Aptos"/>
                <w:b/>
                <w:color w:val="000000"/>
                <w:sz w:val="19"/>
              </w:rPr>
              <w:t>Performance and availability</w:t>
            </w:r>
          </w:p>
        </w:tc>
        <w:tc>
          <w:tcPr>
            <w:tcW w:type="dxa" w:w="6768"/>
            <w:vAlign w:val="center"/>
          </w:tcPr>
          <w:p>
            <w:r/>
            <w:r>
              <w:rPr>
                <w:rFonts w:ascii="Aptos" w:hAnsi="Aptos"/>
                <w:b w:val="0"/>
                <w:color w:val="000000"/>
                <w:sz w:val="19"/>
              </w:rPr>
              <w:t>The production implementation shall meet enterprise-operational targets for runtime throughput, recovery, and service availability defined by deployment policy and acceptance testing.</w:t>
            </w:r>
          </w:p>
        </w:tc>
      </w:tr>
    </w:tbl>
    <w:p>
      <w:pPr>
        <w:pStyle w:val="Heading1"/>
      </w:pPr>
      <w:r>
        <w:t>23. Official Design Conclusion</w:t>
      </w:r>
    </w:p>
    <w:p>
      <w:pPr/>
      <w:r>
        <w:rPr>
          <w:rFonts w:ascii="Aptos" w:hAnsi="Aptos"/>
          <w:sz w:val="21"/>
        </w:rPr>
        <w:t>This DSD/DCD is the official design baseline for GridSenpAI under SRS v2.5. It implements the full project picture: facility and interconnection artifact ingestion, governed interview intake, family-aware retrieval, deterministic normalization and validation, canonical facility state governance, bounded LLM assistance, translation, scenario generation, export, versioning, validation/calibration, lineage, security, auditability, and conflict preservation. It is intended to serve as the repository-grade architecture artifact and as the design anchor for downstream DMD, RTM, and TPVD updates.</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