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w:hAnsi="Aptos" w:eastAsia="Aptos"/>
          <w:b/>
          <w:color w:val="1F4E79"/>
          <w:sz w:val="22"/>
        </w:rPr>
        <w:t>GridSenpAI</w:t>
      </w:r>
    </w:p>
    <w:p>
      <w:pPr>
        <w:spacing w:after="80"/>
        <w:jc w:val="center"/>
      </w:pPr>
      <w:r>
        <w:rPr>
          <w:rFonts w:ascii="Aptos" w:hAnsi="Aptos" w:eastAsia="Aptos"/>
          <w:b/>
          <w:color w:val="1F4E79"/>
          <w:sz w:val="22"/>
        </w:rPr>
        <w:t>Test Plan &amp; Verification Document (TPVD)</w:t>
      </w:r>
    </w:p>
    <w:tbl>
      <w:tblPr>
        <w:tblStyle w:val="TableGrid"/>
        <w:tblW w:type="auto" w:w="0"/>
        <w:jc w:val="center"/>
        <w:tblLook w:firstColumn="1" w:firstRow="1" w:lastColumn="0" w:lastRow="0" w:noHBand="0" w:noVBand="1" w:val="04A0"/>
      </w:tblPr>
      <w:tblGrid>
        <w:gridCol w:w="4968"/>
        <w:gridCol w:w="4968"/>
      </w:tblGrid>
      <w:tr>
        <w:tc>
          <w:tcPr>
            <w:tcW w:type="dxa" w:w="4968"/>
            <w:tcMar>
              <w:top w:w="70" w:type="dxa"/>
              <w:start w:w="90" w:type="dxa"/>
              <w:bottom w:w="70" w:type="dxa"/>
              <w:end w:w="90" w:type="dxa"/>
            </w:tcMar>
            <w:vAlign w:val="center"/>
            <w:shd w:fill="D9EAF7"/>
          </w:tcPr>
          <w:p>
            <w:r>
              <w:rPr>
                <w:rFonts w:ascii="Calibri" w:hAnsi="Calibri" w:eastAsia="Calibri"/>
                <w:b/>
                <w:sz w:val="20"/>
              </w:rPr>
              <w:t>Version</w:t>
            </w:r>
          </w:p>
        </w:tc>
        <w:tc>
          <w:tcPr>
            <w:tcW w:type="dxa" w:w="4968"/>
            <w:tcMar>
              <w:top w:w="70" w:type="dxa"/>
              <w:start w:w="90" w:type="dxa"/>
              <w:bottom w:w="70" w:type="dxa"/>
              <w:end w:w="90" w:type="dxa"/>
            </w:tcMar>
            <w:vAlign w:val="center"/>
          </w:tcPr>
          <w:p>
            <w:r>
              <w:t>2.2</w:t>
            </w:r>
          </w:p>
        </w:tc>
      </w:tr>
      <w:tr>
        <w:tc>
          <w:tcPr>
            <w:tcW w:type="dxa" w:w="4968"/>
            <w:tcMar>
              <w:top w:w="70" w:type="dxa"/>
              <w:start w:w="90" w:type="dxa"/>
              <w:bottom w:w="70" w:type="dxa"/>
              <w:end w:w="90" w:type="dxa"/>
            </w:tcMar>
            <w:vAlign w:val="center"/>
            <w:shd w:fill="D9EAF7"/>
          </w:tcPr>
          <w:p>
            <w:r>
              <w:rPr>
                <w:rFonts w:ascii="Calibri" w:hAnsi="Calibri" w:eastAsia="Calibri"/>
                <w:b/>
                <w:sz w:val="20"/>
              </w:rPr>
              <w:t>Status</w:t>
            </w:r>
          </w:p>
        </w:tc>
        <w:tc>
          <w:tcPr>
            <w:tcW w:type="dxa" w:w="4968"/>
            <w:tcMar>
              <w:top w:w="70" w:type="dxa"/>
              <w:start w:w="90" w:type="dxa"/>
              <w:bottom w:w="70" w:type="dxa"/>
              <w:end w:w="90" w:type="dxa"/>
            </w:tcMar>
            <w:vAlign w:val="center"/>
          </w:tcPr>
          <w:p>
            <w:r>
              <w:t>Official Production Baseline</w:t>
            </w:r>
          </w:p>
        </w:tc>
      </w:tr>
      <w:tr>
        <w:tc>
          <w:tcPr>
            <w:tcW w:type="dxa" w:w="4968"/>
            <w:tcMar>
              <w:top w:w="70" w:type="dxa"/>
              <w:start w:w="90" w:type="dxa"/>
              <w:bottom w:w="70" w:type="dxa"/>
              <w:end w:w="90" w:type="dxa"/>
            </w:tcMar>
            <w:vAlign w:val="center"/>
            <w:shd w:fill="D9EAF7"/>
          </w:tcPr>
          <w:p>
            <w:r>
              <w:rPr>
                <w:rFonts w:ascii="Calibri" w:hAnsi="Calibri" w:eastAsia="Calibri"/>
                <w:b/>
                <w:sz w:val="20"/>
              </w:rPr>
              <w:t>Date</w:t>
            </w:r>
          </w:p>
        </w:tc>
        <w:tc>
          <w:tcPr>
            <w:tcW w:type="dxa" w:w="4968"/>
            <w:tcMar>
              <w:top w:w="70" w:type="dxa"/>
              <w:start w:w="90" w:type="dxa"/>
              <w:bottom w:w="70" w:type="dxa"/>
              <w:end w:w="90" w:type="dxa"/>
            </w:tcMar>
            <w:vAlign w:val="center"/>
          </w:tcPr>
          <w:p>
            <w:r>
              <w:rPr>
                <w:rFonts w:ascii="Calibri" w:hAnsi="Calibri" w:eastAsia="Calibri"/>
                <w:b w:val="0"/>
                <w:sz w:val="20"/>
              </w:rPr>
              <w:t>March 2026</w:t>
            </w:r>
          </w:p>
        </w:tc>
      </w:tr>
      <w:tr>
        <w:tc>
          <w:tcPr>
            <w:tcW w:type="dxa" w:w="4968"/>
            <w:tcMar>
              <w:top w:w="70" w:type="dxa"/>
              <w:start w:w="90" w:type="dxa"/>
              <w:bottom w:w="70" w:type="dxa"/>
              <w:end w:w="90" w:type="dxa"/>
            </w:tcMar>
            <w:vAlign w:val="center"/>
            <w:shd w:fill="D9EAF7"/>
          </w:tcPr>
          <w:p>
            <w:r>
              <w:rPr>
                <w:rFonts w:ascii="Calibri" w:hAnsi="Calibri" w:eastAsia="Calibri"/>
                <w:b/>
                <w:sz w:val="20"/>
              </w:rPr>
              <w:t>Governing Artifact</w:t>
            </w:r>
          </w:p>
        </w:tc>
        <w:tc>
          <w:tcPr>
            <w:tcW w:type="dxa" w:w="4968"/>
            <w:tcMar>
              <w:top w:w="70" w:type="dxa"/>
              <w:start w:w="90" w:type="dxa"/>
              <w:bottom w:w="70" w:type="dxa"/>
              <w:end w:w="90" w:type="dxa"/>
            </w:tcMar>
            <w:vAlign w:val="center"/>
          </w:tcPr>
          <w:p>
            <w:r>
              <w:rPr>
                <w:rFonts w:ascii="Calibri" w:hAnsi="Calibri" w:eastAsia="Calibri"/>
                <w:b w:val="0"/>
                <w:sz w:val="20"/>
              </w:rPr>
              <w:t>GridSenpAI SRS v2.5</w:t>
            </w:r>
          </w:p>
        </w:tc>
      </w:tr>
      <w:tr>
        <w:tc>
          <w:tcPr>
            <w:tcW w:type="dxa" w:w="4968"/>
            <w:tcMar>
              <w:top w:w="70" w:type="dxa"/>
              <w:start w:w="90" w:type="dxa"/>
              <w:bottom w:w="70" w:type="dxa"/>
              <w:end w:w="90" w:type="dxa"/>
            </w:tcMar>
            <w:vAlign w:val="center"/>
            <w:shd w:fill="D9EAF7"/>
          </w:tcPr>
          <w:p>
            <w:r>
              <w:rPr>
                <w:rFonts w:ascii="Calibri" w:hAnsi="Calibri" w:eastAsia="Calibri"/>
                <w:b/>
                <w:sz w:val="20"/>
              </w:rPr>
              <w:t>Artifact Role</w:t>
            </w:r>
          </w:p>
        </w:tc>
        <w:tc>
          <w:tcPr>
            <w:tcW w:type="dxa" w:w="4968"/>
            <w:tcMar>
              <w:top w:w="70" w:type="dxa"/>
              <w:start w:w="90" w:type="dxa"/>
              <w:bottom w:w="70" w:type="dxa"/>
              <w:end w:w="90" w:type="dxa"/>
            </w:tcMar>
            <w:vAlign w:val="center"/>
          </w:tcPr>
          <w:p>
            <w:r>
              <w:rPr>
                <w:rFonts w:ascii="Calibri" w:hAnsi="Calibri" w:eastAsia="Calibri"/>
                <w:b w:val="0"/>
                <w:sz w:val="20"/>
              </w:rPr>
              <w:t>Defines the verification baseline, deterministic test procedures, and requirement-level acceptance criteria for GridSenpAI.</w:t>
            </w:r>
          </w:p>
        </w:tc>
      </w:tr>
    </w:tbl>
    <w:p>
      <w:pPr>
        <w:spacing w:after="80"/>
      </w:pPr>
    </w:p>
    <w:p>
      <w:pPr>
        <w:keepNext/>
        <w:spacing w:before="200" w:after="80"/>
      </w:pPr>
      <w:r>
        <w:rPr>
          <w:rFonts w:ascii="Aptos" w:hAnsi="Aptos" w:eastAsia="Aptos"/>
          <w:b/>
          <w:color w:val="1F4E79"/>
          <w:sz w:val="32"/>
        </w:rPr>
        <w:t>1. Purpose and Scope</w:t>
      </w:r>
    </w:p>
    <w:p>
      <w:pPr>
        <w:spacing w:after="80"/>
      </w:pPr>
      <w:r>
        <w:rPr>
          <w:rFonts w:ascii="Aptos" w:hAnsi="Aptos" w:eastAsia="Aptos"/>
          <w:sz w:val="22"/>
        </w:rPr>
        <w:t>This Test Plan &amp; Verification Document defines the controlled verification methods used to demonstrate that GridSenpAI satisfies every functional and non-functional requirement defined in the governing Software Requirements Specification. The TPVD is subordinate to the SRS and uses the approved DSD/DCD for architectural implementation reference, the DMD for canonical data-structure reference, and the RTM as the requirement-to-component/data/verification bridge.</w:t>
      </w:r>
    </w:p>
    <w:p>
      <w:pPr>
        <w:keepNext/>
        <w:spacing w:before="200" w:after="80"/>
      </w:pPr>
      <w:r>
        <w:rPr>
          <w:rFonts w:ascii="Aptos" w:hAnsi="Aptos" w:eastAsia="Aptos"/>
          <w:b/>
          <w:color w:val="1F4E79"/>
          <w:sz w:val="32"/>
        </w:rPr>
        <w:t>2. Verification Governance and Control Baseline</w:t>
      </w:r>
    </w:p>
    <w:p>
      <w:pPr>
        <w:spacing w:after="80"/>
      </w:pPr>
      <w:r>
        <w:rPr>
          <w:rFonts w:ascii="Aptos" w:hAnsi="Aptos" w:eastAsia="Aptos"/>
          <w:sz w:val="22"/>
        </w:rPr>
        <w:t>Verification shall observe the following authority order: SRS as the governing requirement source, DSD/DCD as the approved architectural implementation reference, DMD as the canonical data-layer contract, RTM as the traceability bridge, and TPVD as the requirement-level verification artifact. Lower artifacts shall not narrow, omit, or contradict higher-level requirements.</w:t>
      </w:r>
    </w:p>
    <w:p>
      <w:pPr>
        <w:spacing w:after="80"/>
      </w:pPr>
      <w:r>
        <w:rPr>
          <w:rFonts w:ascii="Aptos" w:hAnsi="Aptos" w:eastAsia="Aptos"/>
          <w:sz w:val="22"/>
        </w:rPr>
        <w:t>No test shall treat LLM output as authoritative engineering fact absent deterministic validation and canonical-state acceptance. All release verification evidence shall be stored with sufficient lineage to support replay, audit review, and version-to-version comparison.</w:t>
      </w:r>
    </w:p>
    <w:p>
      <w:pPr>
        <w:keepNext/>
        <w:spacing w:before="200" w:after="80"/>
      </w:pPr>
      <w:r>
        <w:rPr>
          <w:rFonts w:ascii="Aptos" w:hAnsi="Aptos" w:eastAsia="Aptos"/>
          <w:b/>
          <w:color w:val="1F4E79"/>
          <w:sz w:val="32"/>
        </w:rPr>
        <w:t>3. Verification Strategy</w:t>
      </w:r>
    </w:p>
    <w:p>
      <w:pPr>
        <w:spacing w:after="80"/>
      </w:pPr>
      <w:r>
        <w:rPr>
          <w:rFonts w:ascii="Aptos" w:hAnsi="Aptos" w:eastAsia="Aptos"/>
          <w:b/>
          <w:sz w:val="22"/>
        </w:rPr>
        <w:t xml:space="preserve">• </w:t>
      </w:r>
      <w:r>
        <w:rPr>
          <w:rFonts w:ascii="Aptos" w:hAnsi="Aptos" w:eastAsia="Aptos"/>
          <w:sz w:val="22"/>
        </w:rPr>
        <w:t>Unit tests verify isolated rules, validators, ontology mappings, normalization logic, and deterministic transformations.</w:t>
      </w:r>
    </w:p>
    <w:p>
      <w:pPr>
        <w:spacing w:after="80"/>
      </w:pPr>
      <w:r>
        <w:rPr>
          <w:rFonts w:ascii="Aptos" w:hAnsi="Aptos" w:eastAsia="Aptos"/>
          <w:b/>
          <w:sz w:val="22"/>
        </w:rPr>
        <w:t xml:space="preserve">• </w:t>
      </w:r>
      <w:r>
        <w:rPr>
          <w:rFonts w:ascii="Aptos" w:hAnsi="Aptos" w:eastAsia="Aptos"/>
          <w:sz w:val="22"/>
        </w:rPr>
        <w:t>Integration tests verify service-to-service exchange, identifier preservation, payload integrity, and controlled state transitions.</w:t>
      </w:r>
    </w:p>
    <w:p>
      <w:pPr>
        <w:spacing w:after="80"/>
      </w:pPr>
      <w:r>
        <w:rPr>
          <w:rFonts w:ascii="Aptos" w:hAnsi="Aptos" w:eastAsia="Aptos"/>
          <w:b/>
          <w:sz w:val="22"/>
        </w:rPr>
        <w:t xml:space="preserve">• </w:t>
      </w:r>
      <w:r>
        <w:rPr>
          <w:rFonts w:ascii="Aptos" w:hAnsi="Aptos" w:eastAsia="Aptos"/>
          <w:sz w:val="22"/>
        </w:rPr>
        <w:t>System tests verify end-to-end or subsystem behavior using representative facility artifacts, intake workflows, canonical-state transitions, and output generation.</w:t>
      </w:r>
    </w:p>
    <w:p>
      <w:pPr>
        <w:spacing w:after="80"/>
      </w:pPr>
      <w:r>
        <w:rPr>
          <w:rFonts w:ascii="Aptos" w:hAnsi="Aptos" w:eastAsia="Aptos"/>
          <w:b/>
          <w:sz w:val="22"/>
        </w:rPr>
        <w:t xml:space="preserve">• </w:t>
      </w:r>
      <w:r>
        <w:rPr>
          <w:rFonts w:ascii="Aptos" w:hAnsi="Aptos" w:eastAsia="Aptos"/>
          <w:sz w:val="22"/>
        </w:rPr>
        <w:t>Security, audit, governance, regression, performance, availability, compliance, and lineage tests verify the non-functional requirements that govern release suitability.</w:t>
      </w:r>
    </w:p>
    <w:p>
      <w:pPr>
        <w:keepNext/>
        <w:spacing w:before="200" w:after="80"/>
      </w:pPr>
      <w:r>
        <w:rPr>
          <w:rFonts w:ascii="Aptos" w:hAnsi="Aptos" w:eastAsia="Aptos"/>
          <w:b/>
          <w:color w:val="1F4E79"/>
          <w:sz w:val="32"/>
        </w:rPr>
        <w:t>4. Test Environment and Controlled Data Sources</w:t>
      </w:r>
    </w:p>
    <w:p>
      <w:pPr>
        <w:spacing w:after="80"/>
      </w:pPr>
      <w:r>
        <w:rPr>
          <w:rFonts w:ascii="Aptos" w:hAnsi="Aptos" w:eastAsia="Aptos"/>
          <w:sz w:val="22"/>
        </w:rPr>
        <w:t>Verification shall be executed in a controlled environment that includes: relational storage for authoritative structured records; object storage for raw artifacts, preprocessing payloads, evidence bundles, canonical snapshots, scenario payloads, and export artifacts; search or vector infrastructure supporting the controlled retrieval corpora; the pipeline services defined in the DSD/DCD; and centralized audit/event logging.</w:t>
      </w:r>
    </w:p>
    <w:p>
      <w:pPr>
        <w:spacing w:after="80"/>
      </w:pPr>
      <w:r>
        <w:rPr>
          <w:rFonts w:ascii="Aptos" w:hAnsi="Aptos" w:eastAsia="Aptos"/>
          <w:sz w:val="22"/>
        </w:rPr>
        <w:t>Controlled verification datasets shall include representative facility electrical design artifacts, interconnection-facing artifacts, structured interview response sets, version-pinned knowledge corpora, and later-stage commissioning, telemetry, or superseding engineering evidence required for validation and calibration testing.</w:t>
      </w:r>
    </w:p>
    <w:p>
      <w:pPr>
        <w:keepNext/>
        <w:spacing w:before="200" w:after="80"/>
      </w:pPr>
      <w:r>
        <w:rPr>
          <w:rFonts w:ascii="Aptos" w:hAnsi="Aptos" w:eastAsia="Aptos"/>
          <w:b/>
          <w:color w:val="1F4E79"/>
          <w:sz w:val="32"/>
        </w:rPr>
        <w:t>5. Test Levels, Evidence Capture, and Release Gate</w:t>
      </w:r>
    </w:p>
    <w:p>
      <w:pPr>
        <w:spacing w:after="80"/>
      </w:pPr>
      <w:r>
        <w:rPr>
          <w:rFonts w:ascii="Aptos" w:hAnsi="Aptos" w:eastAsia="Aptos"/>
          <w:sz w:val="22"/>
        </w:rPr>
        <w:t>Each executed test case shall capture at minimum the test case identifier, execution timestamp, build or implementation version, run identifier where applicable, input dataset reference, measured result, and final pass/fail disposition. End-to-end tests shall additionally preserve canonical snapshots, validation reports, audit evidence, or export artifacts as required by the requirement under test.</w:t>
      </w:r>
    </w:p>
    <w:p>
      <w:pPr>
        <w:spacing w:after="80"/>
      </w:pPr>
      <w:r>
        <w:rPr>
          <w:rFonts w:ascii="Aptos" w:hAnsi="Aptos" w:eastAsia="Aptos"/>
          <w:sz w:val="22"/>
        </w:rPr>
        <w:t>Release verification is complete only when every SRS requirement has an executed TPVD test result and all release-blocking defects are resolved or formally dispositioned.</w:t>
      </w:r>
    </w:p>
    <w:p>
      <w:pPr>
        <w:spacing w:after="80"/>
        <w:sectPr>
          <w:pgSz w:w="12240" w:h="15840"/>
          <w:pgMar w:top="1080" w:right="1152" w:bottom="1008" w:left="1152" w:header="720" w:footer="720" w:gutter="0"/>
          <w:cols w:space="720"/>
          <w:docGrid w:linePitch="360"/>
        </w:sectPr>
      </w:pPr>
    </w:p>
    <w:p>
      <w:pPr>
        <w:spacing w:before="200" w:after="80"/>
      </w:pPr>
      <w:r>
        <w:rPr>
          <w:rFonts w:ascii="Aptos" w:hAnsi="Aptos" w:eastAsia="Aptos"/>
          <w:b/>
          <w:color w:val="1F4E79"/>
          <w:sz w:val="32"/>
        </w:rPr>
        <w:t>6. Functional Requirement Verification</w:t>
      </w:r>
    </w:p>
    <w:p>
      <w:pPr>
        <w:spacing w:after="80"/>
      </w:pPr>
      <w:r>
        <w:rPr>
          <w:rFonts w:ascii="Aptos" w:hAnsi="Aptos" w:eastAsia="Aptos"/>
          <w:sz w:val="22"/>
        </w:rPr>
        <w:t>The following matrices define requirement-level verification coverage for all functional requirements in the governing SRS. Each row preserves the trace chain from requirement to implementing component, supporting data structure, verification method, controlled test data, execution procedure, expected outcome, and pass criteria.</w:t>
      </w:r>
    </w:p>
    <w:p>
      <w:pPr>
        <w:keepNext/>
        <w:spacing w:before="200" w:after="80"/>
      </w:pPr>
      <w:r>
        <w:rPr>
          <w:rFonts w:ascii="Aptos" w:hAnsi="Aptos" w:eastAsia="Aptos"/>
          <w:b/>
          <w:color w:val="1F4E79"/>
          <w:sz w:val="28"/>
        </w:rPr>
        <w:t>6.1 Functional Requirement Verification — Artifact Ingestion and Preprocessing</w:t>
      </w:r>
    </w:p>
    <w:p>
      <w:pPr>
        <w:spacing w:after="80"/>
      </w:pPr>
      <w:r>
        <w:rPr>
          <w:rFonts w:ascii="Aptos" w:hAnsi="Aptos" w:eastAsia="Aptos"/>
          <w:sz w:val="22"/>
        </w:rPr>
        <w:t>The following matrix provides requirement-level verification coverage for this requirement family.</w:t>
      </w:r>
    </w:p>
    <w:tbl>
      <w:tblPr>
        <w:tblStyle w:val="TableGrid"/>
        <w:tblW w:type="auto" w:w="0"/>
        <w:jc w:val="center"/>
        <w:tblLook w:firstColumn="1" w:firstRow="1" w:lastColumn="0" w:lastRow="0" w:noHBand="0" w:noVBand="1" w:val="04A0"/>
      </w:tblPr>
      <w:tblGrid>
        <w:gridCol w:w="2037"/>
        <w:gridCol w:w="2037"/>
        <w:gridCol w:w="2037"/>
        <w:gridCol w:w="2037"/>
        <w:gridCol w:w="2037"/>
        <w:gridCol w:w="2037"/>
        <w:gridCol w:w="2037"/>
      </w:tblGrid>
      <w:tr>
        <w:trPr>
          <w:tblHeader w:val="true"/>
        </w:trPr>
        <w:tc>
          <w:tcPr>
            <w:tcW w:type="dxa" w:w="1152"/>
            <w:vAlign w:val="center"/>
            <w:shd w:fill="1F4E78"/>
            <w:tcMar>
              <w:top w:w="90" w:type="dxa"/>
              <w:start w:w="90" w:type="dxa"/>
              <w:bottom w:w="90" w:type="dxa"/>
              <w:end w:w="90" w:type="dxa"/>
            </w:tcMar>
          </w:tcPr>
          <w:p>
            <w:pPr>
              <w:jc w:val="center"/>
            </w:pPr>
            <w:r>
              <w:rPr>
                <w:rFonts w:ascii="Calibri" w:hAnsi="Calibri" w:eastAsia="Calibri"/>
                <w:b/>
                <w:color w:val="FFFFFF"/>
                <w:sz w:val="17"/>
              </w:rPr>
              <w:t>Test Case</w:t>
            </w:r>
          </w:p>
        </w:tc>
        <w:tc>
          <w:tcPr>
            <w:tcW w:type="dxa" w:w="1339"/>
            <w:vAlign w:val="center"/>
            <w:shd w:fill="1F4E78"/>
            <w:tcMar>
              <w:top w:w="90" w:type="dxa"/>
              <w:start w:w="90" w:type="dxa"/>
              <w:bottom w:w="90" w:type="dxa"/>
              <w:end w:w="90" w:type="dxa"/>
            </w:tcMar>
          </w:tcPr>
          <w:p>
            <w:pPr>
              <w:jc w:val="center"/>
            </w:pPr>
            <w:r>
              <w:rPr>
                <w:rFonts w:ascii="Calibri" w:hAnsi="Calibri" w:eastAsia="Calibri"/>
                <w:b/>
                <w:color w:val="FFFFFF"/>
                <w:sz w:val="17"/>
              </w:rPr>
              <w:t>Requirement</w:t>
            </w:r>
          </w:p>
        </w:tc>
        <w:tc>
          <w:tcPr>
            <w:tcW w:type="dxa" w:w="2477"/>
            <w:vAlign w:val="center"/>
            <w:shd w:fill="1F4E78"/>
            <w:tcMar>
              <w:top w:w="90" w:type="dxa"/>
              <w:start w:w="90" w:type="dxa"/>
              <w:bottom w:w="90" w:type="dxa"/>
              <w:end w:w="90" w:type="dxa"/>
            </w:tcMar>
          </w:tcPr>
          <w:p>
            <w:pPr>
              <w:jc w:val="center"/>
            </w:pPr>
            <w:r>
              <w:rPr>
                <w:rFonts w:ascii="Calibri" w:hAnsi="Calibri" w:eastAsia="Calibri"/>
                <w:b/>
                <w:color w:val="FFFFFF"/>
                <w:sz w:val="17"/>
              </w:rPr>
              <w:t>Implementing Component(s)</w:t>
            </w:r>
          </w:p>
        </w:tc>
        <w:tc>
          <w:tcPr>
            <w:tcW w:type="dxa" w:w="2189"/>
            <w:vAlign w:val="center"/>
            <w:shd w:fill="1F4E78"/>
            <w:tcMar>
              <w:top w:w="90" w:type="dxa"/>
              <w:start w:w="90" w:type="dxa"/>
              <w:bottom w:w="90" w:type="dxa"/>
              <w:end w:w="90" w:type="dxa"/>
            </w:tcMar>
          </w:tcPr>
          <w:p>
            <w:pPr>
              <w:jc w:val="center"/>
            </w:pPr>
            <w:r>
              <w:rPr>
                <w:rFonts w:ascii="Calibri" w:hAnsi="Calibri" w:eastAsia="Calibri"/>
                <w:b/>
                <w:color w:val="FFFFFF"/>
                <w:sz w:val="17"/>
              </w:rPr>
              <w:t>Supporting Data Structures</w:t>
            </w:r>
          </w:p>
        </w:tc>
        <w:tc>
          <w:tcPr>
            <w:tcW w:type="dxa" w:w="1382"/>
            <w:vAlign w:val="center"/>
            <w:shd w:fill="1F4E78"/>
            <w:tcMar>
              <w:top w:w="90" w:type="dxa"/>
              <w:start w:w="90" w:type="dxa"/>
              <w:bottom w:w="90" w:type="dxa"/>
              <w:end w:w="90" w:type="dxa"/>
            </w:tcMar>
          </w:tcPr>
          <w:p>
            <w:pPr>
              <w:jc w:val="center"/>
            </w:pPr>
            <w:r>
              <w:rPr>
                <w:rFonts w:ascii="Calibri" w:hAnsi="Calibri" w:eastAsia="Calibri"/>
                <w:b/>
                <w:color w:val="FFFFFF"/>
                <w:sz w:val="17"/>
              </w:rPr>
              <w:t>Method</w:t>
            </w:r>
          </w:p>
        </w:tc>
        <w:tc>
          <w:tcPr>
            <w:tcW w:type="dxa" w:w="3672"/>
            <w:vAlign w:val="center"/>
            <w:shd w:fill="1F4E78"/>
            <w:tcMar>
              <w:top w:w="90" w:type="dxa"/>
              <w:start w:w="90" w:type="dxa"/>
              <w:bottom w:w="90" w:type="dxa"/>
              <w:end w:w="90" w:type="dxa"/>
            </w:tcMar>
          </w:tcPr>
          <w:p>
            <w:pPr>
              <w:jc w:val="center"/>
            </w:pPr>
            <w:r>
              <w:rPr>
                <w:rFonts w:ascii="Calibri" w:hAnsi="Calibri" w:eastAsia="Calibri"/>
                <w:b/>
                <w:color w:val="FFFFFF"/>
                <w:sz w:val="17"/>
              </w:rPr>
              <w:t>Requirement Statement</w:t>
            </w:r>
          </w:p>
        </w:tc>
        <w:tc>
          <w:tcPr>
            <w:tcW w:type="dxa" w:w="4104"/>
            <w:vAlign w:val="center"/>
            <w:shd w:fill="1F4E78"/>
            <w:tcMar>
              <w:top w:w="90" w:type="dxa"/>
              <w:start w:w="90" w:type="dxa"/>
              <w:bottom w:w="90" w:type="dxa"/>
              <w:end w:w="90" w:type="dxa"/>
            </w:tcMar>
          </w:tcPr>
          <w:p>
            <w:pPr>
              <w:jc w:val="center"/>
            </w:pPr>
            <w:r>
              <w:rPr>
                <w:rFonts w:ascii="Calibri" w:hAnsi="Calibri" w:eastAsia="Calibri"/>
                <w:b/>
                <w:color w:val="FFFFFF"/>
                <w:sz w:val="17"/>
              </w:rPr>
              <w:t>Verification Detail</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TC-FR-ING-01</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FR-ING-01</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Artifact Ingestion and Preprocessing Service</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Artifact, ArtifactVersion</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Integration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The system shall ingest facility electrical design artifacts including one-line diagrams, equipment schedules, protection summaries, commissioning plans, UPS documentation, generator specifications, cooling-system documentation, and other major equipment references.</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Controlled facility and interconnection artifact set including born-digital PDFs, scanned drawings, and project metadata fixture.</w:t>
            </w:r>
          </w:p>
          <w:p>
            <w:pPr>
              <w:spacing w:after="20" w:line="240" w:lineRule="auto"/>
            </w:pPr>
            <w:r>
              <w:rPr>
                <w:rFonts w:ascii="Calibri" w:hAnsi="Calibri" w:eastAsia="Calibri"/>
                <w:b/>
                <w:sz w:val="16"/>
              </w:rPr>
              <w:t xml:space="preserve">Procedure: </w:t>
            </w:r>
            <w:r>
              <w:rPr>
                <w:rFonts w:ascii="Calibri" w:hAnsi="Calibri" w:eastAsia="Calibri"/>
                <w:b w:val="0"/>
                <w:sz w:val="16"/>
              </w:rPr>
              <w:t>Load the controlled artifact fixture, execute the Artifact Ingestion and Preprocessing Service, and upload engineering artifacts and verify registration and storage. Inspect raw storage, project linkage, run linkage, and any generated preprocessing or anchor records required by the requirement.</w:t>
            </w:r>
          </w:p>
          <w:p>
            <w:pPr>
              <w:spacing w:after="20" w:line="240" w:lineRule="auto"/>
            </w:pPr>
            <w:r>
              <w:rPr>
                <w:rFonts w:ascii="Calibri" w:hAnsi="Calibri" w:eastAsia="Calibri"/>
                <w:b/>
                <w:sz w:val="16"/>
              </w:rPr>
              <w:t xml:space="preserve">Expected outcome: </w:t>
            </w:r>
            <w:r>
              <w:rPr>
                <w:rFonts w:ascii="Calibri" w:hAnsi="Calibri" w:eastAsia="Calibri"/>
                <w:b w:val="0"/>
                <w:sz w:val="16"/>
              </w:rPr>
              <w:t>The required artifact lifecycle records are created and linked to the project and run; any required preprocessing outputs and source anchors are persisted without loss of source fidelity.</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Artifact, ArtifactVersion records required by the test exist with correct project/run linkage, the stored artifact or preprocessing output is retrievable, and no required metadata, anchors, or source fidelity attributes are missing.</w:t>
            </w:r>
          </w:p>
        </w:tc>
      </w:tr>
      <w:tr>
        <w:trPr>
          <w:cantSplit/>
        </w:trPr>
        <w:tc>
          <w:tcPr>
            <w:tcW w:type="dxa" w:w="1152"/>
            <w:vAlign w:val="center"/>
            <w:tcMar>
              <w:top w:w="80" w:type="dxa"/>
              <w:start w:w="85" w:type="dxa"/>
              <w:bottom w:w="80" w:type="dxa"/>
              <w:end w:w="85" w:type="dxa"/>
            </w:tcMar>
            <w:shd w:fill="F7FBFF"/>
          </w:tcPr>
          <w:p>
            <w:pPr>
              <w:spacing w:after="40" w:line="240" w:lineRule="auto"/>
            </w:pPr>
            <w:r>
              <w:rPr>
                <w:rFonts w:ascii="Calibri" w:hAnsi="Calibri" w:eastAsia="Calibri"/>
                <w:b/>
                <w:sz w:val="16"/>
              </w:rPr>
              <w:t>TC-FR-ING-02</w:t>
            </w:r>
          </w:p>
        </w:tc>
        <w:tc>
          <w:tcPr>
            <w:tcW w:type="dxa" w:w="1339"/>
            <w:vAlign w:val="center"/>
            <w:tcMar>
              <w:top w:w="80" w:type="dxa"/>
              <w:start w:w="85" w:type="dxa"/>
              <w:bottom w:w="80" w:type="dxa"/>
              <w:end w:w="85" w:type="dxa"/>
            </w:tcMar>
            <w:shd w:fill="F7FBFF"/>
          </w:tcPr>
          <w:p>
            <w:pPr>
              <w:spacing w:after="40" w:line="240" w:lineRule="auto"/>
            </w:pPr>
            <w:r>
              <w:rPr>
                <w:rFonts w:ascii="Calibri" w:hAnsi="Calibri" w:eastAsia="Calibri"/>
                <w:b/>
                <w:sz w:val="16"/>
              </w:rPr>
              <w:t>FR-ING-02</w:t>
            </w:r>
          </w:p>
        </w:tc>
        <w:tc>
          <w:tcPr>
            <w:tcW w:type="dxa" w:w="2477"/>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Artifact Ingestion and Preprocessing Service</w:t>
            </w:r>
          </w:p>
        </w:tc>
        <w:tc>
          <w:tcPr>
            <w:tcW w:type="dxa" w:w="2189"/>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Artifact</w:t>
            </w:r>
          </w:p>
        </w:tc>
        <w:tc>
          <w:tcPr>
            <w:tcW w:type="dxa" w:w="138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Integration Test</w:t>
            </w:r>
          </w:p>
        </w:tc>
        <w:tc>
          <w:tcPr>
            <w:tcW w:type="dxa" w:w="367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The system shall ingest interconnection-related artifacts including point-of-interconnection documentation, substation topology material, protection diagrams, telemetry and metering requirements, and other planner-facing submission artifacts where available.</w:t>
            </w:r>
          </w:p>
        </w:tc>
        <w:tc>
          <w:tcPr>
            <w:tcW w:type="dxa" w:w="4104"/>
            <w:vAlign w:val="center"/>
            <w:tcMar>
              <w:top w:w="80" w:type="dxa"/>
              <w:start w:w="85" w:type="dxa"/>
              <w:bottom w:w="80" w:type="dxa"/>
              <w:end w:w="85" w:type="dxa"/>
            </w:tcMar>
            <w:shd w:fill="F7FBFF"/>
            <w:shd w:fill="F7FBFF"/>
          </w:tcPr>
          <w:p>
            <w:pPr>
              <w:spacing w:after="20" w:line="240" w:lineRule="auto"/>
            </w:pPr>
            <w:r/>
            <w:r>
              <w:rPr>
                <w:rFonts w:ascii="Calibri" w:hAnsi="Calibri" w:eastAsia="Calibri"/>
                <w:b/>
                <w:sz w:val="16"/>
              </w:rPr>
              <w:t xml:space="preserve">Test data: </w:t>
            </w:r>
            <w:r>
              <w:rPr>
                <w:rFonts w:ascii="Calibri" w:hAnsi="Calibri" w:eastAsia="Calibri"/>
                <w:b w:val="0"/>
                <w:sz w:val="16"/>
              </w:rPr>
              <w:t>Controlled facility and interconnection artifact set including born-digital PDFs, scanned drawings, and project metadata fixture.</w:t>
            </w:r>
          </w:p>
          <w:p>
            <w:pPr>
              <w:spacing w:after="20" w:line="240" w:lineRule="auto"/>
            </w:pPr>
            <w:r>
              <w:rPr>
                <w:rFonts w:ascii="Calibri" w:hAnsi="Calibri" w:eastAsia="Calibri"/>
                <w:b/>
                <w:sz w:val="16"/>
              </w:rPr>
              <w:t xml:space="preserve">Procedure: </w:t>
            </w:r>
            <w:r>
              <w:rPr>
                <w:rFonts w:ascii="Calibri" w:hAnsi="Calibri" w:eastAsia="Calibri"/>
                <w:b w:val="0"/>
                <w:sz w:val="16"/>
              </w:rPr>
              <w:t>Load the controlled artifact fixture, execute the Artifact Ingestion and Preprocessing Service, and upload poi and substation artifacts and verify classification. Inspect raw storage, project linkage, run linkage, and any generated preprocessing or anchor records required by the requirement.</w:t>
            </w:r>
          </w:p>
          <w:p>
            <w:pPr>
              <w:spacing w:after="20" w:line="240" w:lineRule="auto"/>
            </w:pPr>
            <w:r>
              <w:rPr>
                <w:rFonts w:ascii="Calibri" w:hAnsi="Calibri" w:eastAsia="Calibri"/>
                <w:b/>
                <w:sz w:val="16"/>
              </w:rPr>
              <w:t xml:space="preserve">Expected outcome: </w:t>
            </w:r>
            <w:r>
              <w:rPr>
                <w:rFonts w:ascii="Calibri" w:hAnsi="Calibri" w:eastAsia="Calibri"/>
                <w:b w:val="0"/>
                <w:sz w:val="16"/>
              </w:rPr>
              <w:t>The required artifact lifecycle records are created and linked to the project and run; any required preprocessing outputs and source anchors are persisted without loss of source fidelity.</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Artifact records required by the test exist with correct project/run linkage, the stored artifact or preprocessing output is retrievable, and no required metadata, anchors, or source fidelity attributes are missing.</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TC-FR-ING-03</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FR-ING-03</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Artifact Ingestion and Preprocessing Service</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Artifact</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The system shall support ingestion of both born-digital and scanned engineering documents.</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Controlled facility and interconnection artifact set including born-digital PDFs, scanned drawings, and project metadata fixture.</w:t>
            </w:r>
          </w:p>
          <w:p>
            <w:pPr>
              <w:spacing w:after="20" w:line="240" w:lineRule="auto"/>
            </w:pPr>
            <w:r>
              <w:rPr>
                <w:rFonts w:ascii="Calibri" w:hAnsi="Calibri" w:eastAsia="Calibri"/>
                <w:b/>
                <w:sz w:val="16"/>
              </w:rPr>
              <w:t xml:space="preserve">Procedure: </w:t>
            </w:r>
            <w:r>
              <w:rPr>
                <w:rFonts w:ascii="Calibri" w:hAnsi="Calibri" w:eastAsia="Calibri"/>
                <w:b w:val="0"/>
                <w:sz w:val="16"/>
              </w:rPr>
              <w:t>Load the controlled artifact fixture, execute the Artifact Ingestion and Preprocessing Service, and upload both document types and verify processing. Inspect raw storage, project linkage, run linkage, and any generated preprocessing or anchor records required by the requirement.</w:t>
            </w:r>
          </w:p>
          <w:p>
            <w:pPr>
              <w:spacing w:after="20" w:line="240" w:lineRule="auto"/>
            </w:pPr>
            <w:r>
              <w:rPr>
                <w:rFonts w:ascii="Calibri" w:hAnsi="Calibri" w:eastAsia="Calibri"/>
                <w:b/>
                <w:sz w:val="16"/>
              </w:rPr>
              <w:t xml:space="preserve">Expected outcome: </w:t>
            </w:r>
            <w:r>
              <w:rPr>
                <w:rFonts w:ascii="Calibri" w:hAnsi="Calibri" w:eastAsia="Calibri"/>
                <w:b w:val="0"/>
                <w:sz w:val="16"/>
              </w:rPr>
              <w:t>The required artifact lifecycle records are created and linked to the project and run; any required preprocessing outputs and source anchors are persisted without loss of source fidelity.</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Artifact records required by the test exist with correct project/run linkage, the stored artifact or preprocessing output is retrievable, and no required metadata, anchors, or source fidelity attributes are missing.</w:t>
            </w:r>
          </w:p>
        </w:tc>
      </w:tr>
      <w:tr>
        <w:trPr>
          <w:cantSplit/>
        </w:trPr>
        <w:tc>
          <w:tcPr>
            <w:tcW w:type="dxa" w:w="1152"/>
            <w:vAlign w:val="center"/>
            <w:tcMar>
              <w:top w:w="80" w:type="dxa"/>
              <w:start w:w="85" w:type="dxa"/>
              <w:bottom w:w="80" w:type="dxa"/>
              <w:end w:w="85" w:type="dxa"/>
            </w:tcMar>
            <w:shd w:fill="F7FBFF"/>
          </w:tcPr>
          <w:p>
            <w:pPr>
              <w:spacing w:after="40" w:line="240" w:lineRule="auto"/>
            </w:pPr>
            <w:r>
              <w:rPr>
                <w:rFonts w:ascii="Calibri" w:hAnsi="Calibri" w:eastAsia="Calibri"/>
                <w:b/>
                <w:sz w:val="16"/>
              </w:rPr>
              <w:t>TC-FR-ING-04</w:t>
            </w:r>
          </w:p>
        </w:tc>
        <w:tc>
          <w:tcPr>
            <w:tcW w:type="dxa" w:w="1339"/>
            <w:vAlign w:val="center"/>
            <w:tcMar>
              <w:top w:w="80" w:type="dxa"/>
              <w:start w:w="85" w:type="dxa"/>
              <w:bottom w:w="80" w:type="dxa"/>
              <w:end w:w="85" w:type="dxa"/>
            </w:tcMar>
            <w:shd w:fill="F7FBFF"/>
          </w:tcPr>
          <w:p>
            <w:pPr>
              <w:spacing w:after="40" w:line="240" w:lineRule="auto"/>
            </w:pPr>
            <w:r>
              <w:rPr>
                <w:rFonts w:ascii="Calibri" w:hAnsi="Calibri" w:eastAsia="Calibri"/>
                <w:b/>
                <w:sz w:val="16"/>
              </w:rPr>
              <w:t>FR-ING-04</w:t>
            </w:r>
          </w:p>
        </w:tc>
        <w:tc>
          <w:tcPr>
            <w:tcW w:type="dxa" w:w="2477"/>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Artifact Ingestion and Preprocessing Service</w:t>
            </w:r>
          </w:p>
        </w:tc>
        <w:tc>
          <w:tcPr>
            <w:tcW w:type="dxa" w:w="2189"/>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PreprocessedArtifact, SourceAnchor</w:t>
            </w:r>
          </w:p>
        </w:tc>
        <w:tc>
          <w:tcPr>
            <w:tcW w:type="dxa" w:w="138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Integration Test</w:t>
            </w:r>
          </w:p>
        </w:tc>
        <w:tc>
          <w:tcPr>
            <w:tcW w:type="dxa" w:w="367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For scanned or image-heavy documents, the system shall perform OCR and layout-aware preprocessing before extraction.</w:t>
            </w:r>
          </w:p>
        </w:tc>
        <w:tc>
          <w:tcPr>
            <w:tcW w:type="dxa" w:w="4104"/>
            <w:vAlign w:val="center"/>
            <w:tcMar>
              <w:top w:w="80" w:type="dxa"/>
              <w:start w:w="85" w:type="dxa"/>
              <w:bottom w:w="80" w:type="dxa"/>
              <w:end w:w="85" w:type="dxa"/>
            </w:tcMar>
            <w:shd w:fill="F7FBFF"/>
            <w:shd w:fill="F7FBFF"/>
          </w:tcPr>
          <w:p>
            <w:pPr>
              <w:spacing w:after="20" w:line="240" w:lineRule="auto"/>
            </w:pPr>
            <w:r/>
            <w:r>
              <w:rPr>
                <w:rFonts w:ascii="Calibri" w:hAnsi="Calibri" w:eastAsia="Calibri"/>
                <w:b/>
                <w:sz w:val="16"/>
              </w:rPr>
              <w:t xml:space="preserve">Test data: </w:t>
            </w:r>
            <w:r>
              <w:rPr>
                <w:rFonts w:ascii="Calibri" w:hAnsi="Calibri" w:eastAsia="Calibri"/>
                <w:b w:val="0"/>
                <w:sz w:val="16"/>
              </w:rPr>
              <w:t>Controlled facility and interconnection artifact set including born-digital PDFs, scanned drawings, and project metadata fixture.</w:t>
            </w:r>
          </w:p>
          <w:p>
            <w:pPr>
              <w:spacing w:after="20" w:line="240" w:lineRule="auto"/>
            </w:pPr>
            <w:r>
              <w:rPr>
                <w:rFonts w:ascii="Calibri" w:hAnsi="Calibri" w:eastAsia="Calibri"/>
                <w:b/>
                <w:sz w:val="16"/>
              </w:rPr>
              <w:t xml:space="preserve">Procedure: </w:t>
            </w:r>
            <w:r>
              <w:rPr>
                <w:rFonts w:ascii="Calibri" w:hAnsi="Calibri" w:eastAsia="Calibri"/>
                <w:b w:val="0"/>
                <w:sz w:val="16"/>
              </w:rPr>
              <w:t>Load the controlled artifact fixture, execute the Artifact Ingestion and Preprocessing Service, and validate ocr extraction and anchor generation. Inspect raw storage, project linkage, run linkage, and any generated preprocessing or anchor records required by the requirement.</w:t>
            </w:r>
          </w:p>
          <w:p>
            <w:pPr>
              <w:spacing w:after="20" w:line="240" w:lineRule="auto"/>
            </w:pPr>
            <w:r>
              <w:rPr>
                <w:rFonts w:ascii="Calibri" w:hAnsi="Calibri" w:eastAsia="Calibri"/>
                <w:b/>
                <w:sz w:val="16"/>
              </w:rPr>
              <w:t xml:space="preserve">Expected outcome: </w:t>
            </w:r>
            <w:r>
              <w:rPr>
                <w:rFonts w:ascii="Calibri" w:hAnsi="Calibri" w:eastAsia="Calibri"/>
                <w:b w:val="0"/>
                <w:sz w:val="16"/>
              </w:rPr>
              <w:t>The required artifact lifecycle records are created and linked to the project and run; any required preprocessing outputs and source anchors are persisted without loss of source fidelity.</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PreprocessedArtifact, SourceAnchor records required by the test exist with correct project/run linkage, the stored artifact or preprocessing output is retrievable, and no required metadata, anchors, or source fidelity attributes are missing.</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TC-FR-ING-05</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FR-ING-05</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Artifact Ingestion and Preprocessing Service</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Artifact, SourceAnchor</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The system shall preserve uploaded artifacts, extracted text, page-level anchors, and run linkage required for traceability and reproducibility.</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Controlled facility and interconnection artifact set including born-digital PDFs, scanned drawings, and project metadata fixture.</w:t>
            </w:r>
          </w:p>
          <w:p>
            <w:pPr>
              <w:spacing w:after="20" w:line="240" w:lineRule="auto"/>
            </w:pPr>
            <w:r>
              <w:rPr>
                <w:rFonts w:ascii="Calibri" w:hAnsi="Calibri" w:eastAsia="Calibri"/>
                <w:b/>
                <w:sz w:val="16"/>
              </w:rPr>
              <w:t xml:space="preserve">Procedure: </w:t>
            </w:r>
            <w:r>
              <w:rPr>
                <w:rFonts w:ascii="Calibri" w:hAnsi="Calibri" w:eastAsia="Calibri"/>
                <w:b w:val="0"/>
                <w:sz w:val="16"/>
              </w:rPr>
              <w:t>Load the controlled artifact fixture, execute the Artifact Ingestion and Preprocessing Service, and verify anchors reference original artifact locations. Inspect raw storage, project linkage, run linkage, and any generated preprocessing or anchor records required by the requirement.</w:t>
            </w:r>
          </w:p>
          <w:p>
            <w:pPr>
              <w:spacing w:after="20" w:line="240" w:lineRule="auto"/>
            </w:pPr>
            <w:r>
              <w:rPr>
                <w:rFonts w:ascii="Calibri" w:hAnsi="Calibri" w:eastAsia="Calibri"/>
                <w:b/>
                <w:sz w:val="16"/>
              </w:rPr>
              <w:t xml:space="preserve">Expected outcome: </w:t>
            </w:r>
            <w:r>
              <w:rPr>
                <w:rFonts w:ascii="Calibri" w:hAnsi="Calibri" w:eastAsia="Calibri"/>
                <w:b w:val="0"/>
                <w:sz w:val="16"/>
              </w:rPr>
              <w:t>The required artifact lifecycle records are created and linked to the project and run; any required preprocessing outputs and source anchors are persisted without loss of source fidelity.</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Artifact, SourceAnchor records required by the test exist with correct project/run linkage, the stored artifact or preprocessing output is retrievable, and no required metadata, anchors, or source fidelity attributes are missing.</w:t>
            </w:r>
          </w:p>
        </w:tc>
      </w:tr>
    </w:tbl>
    <w:p>
      <w:pPr>
        <w:spacing w:after="80"/>
      </w:pPr>
    </w:p>
    <w:p>
      <w:pPr>
        <w:keepNext/>
        <w:spacing w:before="200" w:after="80"/>
      </w:pPr>
      <w:r>
        <w:rPr>
          <w:rFonts w:ascii="Aptos" w:hAnsi="Aptos" w:eastAsia="Aptos"/>
          <w:b/>
          <w:color w:val="1F4E79"/>
          <w:sz w:val="28"/>
        </w:rPr>
        <w:t>6.2 Functional Requirement Verification — Extraction and Ontology Classification</w:t>
      </w:r>
    </w:p>
    <w:p>
      <w:pPr>
        <w:spacing w:after="80"/>
      </w:pPr>
      <w:r>
        <w:rPr>
          <w:rFonts w:ascii="Aptos" w:hAnsi="Aptos" w:eastAsia="Aptos"/>
          <w:sz w:val="22"/>
        </w:rPr>
        <w:t>The following matrix provides requirement-level verification coverage for this requirement family.</w:t>
      </w:r>
    </w:p>
    <w:tbl>
      <w:tblPr>
        <w:tblStyle w:val="TableGrid"/>
        <w:tblW w:type="auto" w:w="0"/>
        <w:jc w:val="center"/>
        <w:tblLook w:firstColumn="1" w:firstRow="1" w:lastColumn="0" w:lastRow="0" w:noHBand="0" w:noVBand="1" w:val="04A0"/>
      </w:tblPr>
      <w:tblGrid>
        <w:gridCol w:w="2037"/>
        <w:gridCol w:w="2037"/>
        <w:gridCol w:w="2037"/>
        <w:gridCol w:w="2037"/>
        <w:gridCol w:w="2037"/>
        <w:gridCol w:w="2037"/>
        <w:gridCol w:w="2037"/>
      </w:tblGrid>
      <w:tr>
        <w:trPr>
          <w:tblHeader w:val="true"/>
        </w:trPr>
        <w:tc>
          <w:tcPr>
            <w:tcW w:type="dxa" w:w="1152"/>
            <w:vAlign w:val="center"/>
            <w:shd w:fill="1F4E78"/>
            <w:tcMar>
              <w:top w:w="90" w:type="dxa"/>
              <w:start w:w="90" w:type="dxa"/>
              <w:bottom w:w="90" w:type="dxa"/>
              <w:end w:w="90" w:type="dxa"/>
            </w:tcMar>
          </w:tcPr>
          <w:p>
            <w:pPr>
              <w:jc w:val="center"/>
            </w:pPr>
            <w:r>
              <w:rPr>
                <w:rFonts w:ascii="Calibri" w:hAnsi="Calibri" w:eastAsia="Calibri"/>
                <w:b/>
                <w:color w:val="FFFFFF"/>
                <w:sz w:val="17"/>
              </w:rPr>
              <w:t>Test Case</w:t>
            </w:r>
          </w:p>
        </w:tc>
        <w:tc>
          <w:tcPr>
            <w:tcW w:type="dxa" w:w="1339"/>
            <w:vAlign w:val="center"/>
            <w:shd w:fill="1F4E78"/>
            <w:tcMar>
              <w:top w:w="90" w:type="dxa"/>
              <w:start w:w="90" w:type="dxa"/>
              <w:bottom w:w="90" w:type="dxa"/>
              <w:end w:w="90" w:type="dxa"/>
            </w:tcMar>
          </w:tcPr>
          <w:p>
            <w:pPr>
              <w:jc w:val="center"/>
            </w:pPr>
            <w:r>
              <w:rPr>
                <w:rFonts w:ascii="Calibri" w:hAnsi="Calibri" w:eastAsia="Calibri"/>
                <w:b/>
                <w:color w:val="FFFFFF"/>
                <w:sz w:val="17"/>
              </w:rPr>
              <w:t>Requirement</w:t>
            </w:r>
          </w:p>
        </w:tc>
        <w:tc>
          <w:tcPr>
            <w:tcW w:type="dxa" w:w="2477"/>
            <w:vAlign w:val="center"/>
            <w:shd w:fill="1F4E78"/>
            <w:tcMar>
              <w:top w:w="90" w:type="dxa"/>
              <w:start w:w="90" w:type="dxa"/>
              <w:bottom w:w="90" w:type="dxa"/>
              <w:end w:w="90" w:type="dxa"/>
            </w:tcMar>
          </w:tcPr>
          <w:p>
            <w:pPr>
              <w:jc w:val="center"/>
            </w:pPr>
            <w:r>
              <w:rPr>
                <w:rFonts w:ascii="Calibri" w:hAnsi="Calibri" w:eastAsia="Calibri"/>
                <w:b/>
                <w:color w:val="FFFFFF"/>
                <w:sz w:val="17"/>
              </w:rPr>
              <w:t>Implementing Component(s)</w:t>
            </w:r>
          </w:p>
        </w:tc>
        <w:tc>
          <w:tcPr>
            <w:tcW w:type="dxa" w:w="2189"/>
            <w:vAlign w:val="center"/>
            <w:shd w:fill="1F4E78"/>
            <w:tcMar>
              <w:top w:w="90" w:type="dxa"/>
              <w:start w:w="90" w:type="dxa"/>
              <w:bottom w:w="90" w:type="dxa"/>
              <w:end w:w="90" w:type="dxa"/>
            </w:tcMar>
          </w:tcPr>
          <w:p>
            <w:pPr>
              <w:jc w:val="center"/>
            </w:pPr>
            <w:r>
              <w:rPr>
                <w:rFonts w:ascii="Calibri" w:hAnsi="Calibri" w:eastAsia="Calibri"/>
                <w:b/>
                <w:color w:val="FFFFFF"/>
                <w:sz w:val="17"/>
              </w:rPr>
              <w:t>Supporting Data Structures</w:t>
            </w:r>
          </w:p>
        </w:tc>
        <w:tc>
          <w:tcPr>
            <w:tcW w:type="dxa" w:w="1382"/>
            <w:vAlign w:val="center"/>
            <w:shd w:fill="1F4E78"/>
            <w:tcMar>
              <w:top w:w="90" w:type="dxa"/>
              <w:start w:w="90" w:type="dxa"/>
              <w:bottom w:w="90" w:type="dxa"/>
              <w:end w:w="90" w:type="dxa"/>
            </w:tcMar>
          </w:tcPr>
          <w:p>
            <w:pPr>
              <w:jc w:val="center"/>
            </w:pPr>
            <w:r>
              <w:rPr>
                <w:rFonts w:ascii="Calibri" w:hAnsi="Calibri" w:eastAsia="Calibri"/>
                <w:b/>
                <w:color w:val="FFFFFF"/>
                <w:sz w:val="17"/>
              </w:rPr>
              <w:t>Method</w:t>
            </w:r>
          </w:p>
        </w:tc>
        <w:tc>
          <w:tcPr>
            <w:tcW w:type="dxa" w:w="3672"/>
            <w:vAlign w:val="center"/>
            <w:shd w:fill="1F4E78"/>
            <w:tcMar>
              <w:top w:w="90" w:type="dxa"/>
              <w:start w:w="90" w:type="dxa"/>
              <w:bottom w:w="90" w:type="dxa"/>
              <w:end w:w="90" w:type="dxa"/>
            </w:tcMar>
          </w:tcPr>
          <w:p>
            <w:pPr>
              <w:jc w:val="center"/>
            </w:pPr>
            <w:r>
              <w:rPr>
                <w:rFonts w:ascii="Calibri" w:hAnsi="Calibri" w:eastAsia="Calibri"/>
                <w:b/>
                <w:color w:val="FFFFFF"/>
                <w:sz w:val="17"/>
              </w:rPr>
              <w:t>Requirement Statement</w:t>
            </w:r>
          </w:p>
        </w:tc>
        <w:tc>
          <w:tcPr>
            <w:tcW w:type="dxa" w:w="4104"/>
            <w:vAlign w:val="center"/>
            <w:shd w:fill="1F4E78"/>
            <w:tcMar>
              <w:top w:w="90" w:type="dxa"/>
              <w:start w:w="90" w:type="dxa"/>
              <w:bottom w:w="90" w:type="dxa"/>
              <w:end w:w="90" w:type="dxa"/>
            </w:tcMar>
          </w:tcPr>
          <w:p>
            <w:pPr>
              <w:jc w:val="center"/>
            </w:pPr>
            <w:r>
              <w:rPr>
                <w:rFonts w:ascii="Calibri" w:hAnsi="Calibri" w:eastAsia="Calibri"/>
                <w:b/>
                <w:color w:val="FFFFFF"/>
                <w:sz w:val="17"/>
              </w:rPr>
              <w:t>Verification Detail</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TC-FR-EXT-01</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FR-EXT-01</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Extraction and Ontology Classification Service</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ExtractedFieldCandidate</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Unit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The system shall parse ingested documents and extract structured engineering entities including equipment types, ratings, topology cues, settings, and configuration metadata.</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Preprocessed artifact payloads with expected engineering entities, topology cues, units, and source anchors.</w:t>
            </w:r>
          </w:p>
          <w:p>
            <w:pPr>
              <w:spacing w:after="20" w:line="240" w:lineRule="auto"/>
            </w:pPr>
            <w:r>
              <w:rPr>
                <w:rFonts w:ascii="Calibri" w:hAnsi="Calibri" w:eastAsia="Calibri"/>
                <w:b/>
                <w:sz w:val="16"/>
              </w:rPr>
              <w:t xml:space="preserve">Procedure: </w:t>
            </w:r>
            <w:r>
              <w:rPr>
                <w:rFonts w:ascii="Calibri" w:hAnsi="Calibri" w:eastAsia="Calibri"/>
                <w:b w:val="0"/>
                <w:sz w:val="16"/>
              </w:rPr>
              <w:t>Run the Extraction and Ontology Classification Service on the prepared artifact payloads and validate entity extraction from documents. Inspect extracted candidate records, normalized values, ontology mappings, and evidence anchors associated with the controlled input.</w:t>
            </w:r>
          </w:p>
          <w:p>
            <w:pPr>
              <w:spacing w:after="20" w:line="240" w:lineRule="auto"/>
            </w:pPr>
            <w:r>
              <w:rPr>
                <w:rFonts w:ascii="Calibri" w:hAnsi="Calibri" w:eastAsia="Calibri"/>
                <w:b/>
                <w:sz w:val="16"/>
              </w:rPr>
              <w:t xml:space="preserve">Expected outcome: </w:t>
            </w:r>
            <w:r>
              <w:rPr>
                <w:rFonts w:ascii="Calibri" w:hAnsi="Calibri" w:eastAsia="Calibri"/>
                <w:b w:val="0"/>
                <w:sz w:val="16"/>
              </w:rPr>
              <w:t>The service produces the expected structured extraction result set, including normalized values, ontology assignments, and evidence linkage required for downstream use.</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extracted result set matches the controlled expectation for fields, normalized values, and classifications, required ExtractedFieldCandidate records are created, and all required source anchors or provenance links resolve correctly.</w:t>
            </w:r>
          </w:p>
        </w:tc>
      </w:tr>
      <w:tr>
        <w:trPr>
          <w:cantSplit/>
        </w:trPr>
        <w:tc>
          <w:tcPr>
            <w:tcW w:type="dxa" w:w="1152"/>
            <w:vAlign w:val="center"/>
            <w:tcMar>
              <w:top w:w="80" w:type="dxa"/>
              <w:start w:w="85" w:type="dxa"/>
              <w:bottom w:w="80" w:type="dxa"/>
              <w:end w:w="85" w:type="dxa"/>
            </w:tcMar>
            <w:shd w:fill="F7FBFF"/>
          </w:tcPr>
          <w:p>
            <w:pPr>
              <w:spacing w:after="40" w:line="240" w:lineRule="auto"/>
            </w:pPr>
            <w:r>
              <w:rPr>
                <w:rFonts w:ascii="Calibri" w:hAnsi="Calibri" w:eastAsia="Calibri"/>
                <w:b/>
                <w:sz w:val="16"/>
              </w:rPr>
              <w:t>TC-FR-EXT-02</w:t>
            </w:r>
          </w:p>
        </w:tc>
        <w:tc>
          <w:tcPr>
            <w:tcW w:type="dxa" w:w="1339"/>
            <w:vAlign w:val="center"/>
            <w:tcMar>
              <w:top w:w="80" w:type="dxa"/>
              <w:start w:w="85" w:type="dxa"/>
              <w:bottom w:w="80" w:type="dxa"/>
              <w:end w:w="85" w:type="dxa"/>
            </w:tcMar>
            <w:shd w:fill="F7FBFF"/>
          </w:tcPr>
          <w:p>
            <w:pPr>
              <w:spacing w:after="40" w:line="240" w:lineRule="auto"/>
            </w:pPr>
            <w:r>
              <w:rPr>
                <w:rFonts w:ascii="Calibri" w:hAnsi="Calibri" w:eastAsia="Calibri"/>
                <w:b/>
                <w:sz w:val="16"/>
              </w:rPr>
              <w:t>FR-EXT-02</w:t>
            </w:r>
          </w:p>
        </w:tc>
        <w:tc>
          <w:tcPr>
            <w:tcW w:type="dxa" w:w="2477"/>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Extraction and Ontology Classification Service</w:t>
            </w:r>
          </w:p>
        </w:tc>
        <w:tc>
          <w:tcPr>
            <w:tcW w:type="dxa" w:w="2189"/>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ExtractedFieldCandidate</w:t>
            </w:r>
          </w:p>
        </w:tc>
        <w:tc>
          <w:tcPr>
            <w:tcW w:type="dxa" w:w="138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Integration Test</w:t>
            </w:r>
          </w:p>
        </w:tc>
        <w:tc>
          <w:tcPr>
            <w:tcW w:type="dxa" w:w="367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The system shall extract interconnection-relevant entities where present, including POI references, substation topology cues, protection information, metering context, and telemetry or SCADA-related requirements.</w:t>
            </w:r>
          </w:p>
        </w:tc>
        <w:tc>
          <w:tcPr>
            <w:tcW w:type="dxa" w:w="4104"/>
            <w:vAlign w:val="center"/>
            <w:tcMar>
              <w:top w:w="80" w:type="dxa"/>
              <w:start w:w="85" w:type="dxa"/>
              <w:bottom w:w="80" w:type="dxa"/>
              <w:end w:w="85" w:type="dxa"/>
            </w:tcMar>
            <w:shd w:fill="F7FBFF"/>
            <w:shd w:fill="F7FBFF"/>
          </w:tcPr>
          <w:p>
            <w:pPr>
              <w:spacing w:after="20" w:line="240" w:lineRule="auto"/>
            </w:pPr>
            <w:r/>
            <w:r>
              <w:rPr>
                <w:rFonts w:ascii="Calibri" w:hAnsi="Calibri" w:eastAsia="Calibri"/>
                <w:b/>
                <w:sz w:val="16"/>
              </w:rPr>
              <w:t xml:space="preserve">Test data: </w:t>
            </w:r>
            <w:r>
              <w:rPr>
                <w:rFonts w:ascii="Calibri" w:hAnsi="Calibri" w:eastAsia="Calibri"/>
                <w:b w:val="0"/>
                <w:sz w:val="16"/>
              </w:rPr>
              <w:t>Preprocessed artifact payloads with expected engineering entities, topology cues, units, and source anchors.</w:t>
            </w:r>
          </w:p>
          <w:p>
            <w:pPr>
              <w:spacing w:after="20" w:line="240" w:lineRule="auto"/>
            </w:pPr>
            <w:r>
              <w:rPr>
                <w:rFonts w:ascii="Calibri" w:hAnsi="Calibri" w:eastAsia="Calibri"/>
                <w:b/>
                <w:sz w:val="16"/>
              </w:rPr>
              <w:t xml:space="preserve">Procedure: </w:t>
            </w:r>
            <w:r>
              <w:rPr>
                <w:rFonts w:ascii="Calibri" w:hAnsi="Calibri" w:eastAsia="Calibri"/>
                <w:b w:val="0"/>
                <w:sz w:val="16"/>
              </w:rPr>
              <w:t>Run the Extraction and Ontology Classification Service on the prepared artifact payloads and validate poi, topology, and protection extraction. Inspect extracted candidate records, normalized values, ontology mappings, and evidence anchors associated with the controlled input.</w:t>
            </w:r>
          </w:p>
          <w:p>
            <w:pPr>
              <w:spacing w:after="20" w:line="240" w:lineRule="auto"/>
            </w:pPr>
            <w:r>
              <w:rPr>
                <w:rFonts w:ascii="Calibri" w:hAnsi="Calibri" w:eastAsia="Calibri"/>
                <w:b/>
                <w:sz w:val="16"/>
              </w:rPr>
              <w:t xml:space="preserve">Expected outcome: </w:t>
            </w:r>
            <w:r>
              <w:rPr>
                <w:rFonts w:ascii="Calibri" w:hAnsi="Calibri" w:eastAsia="Calibri"/>
                <w:b w:val="0"/>
                <w:sz w:val="16"/>
              </w:rPr>
              <w:t>The service produces the expected structured extraction result set, including normalized values, ontology assignments, and evidence linkage required for downstream use.</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extracted result set matches the controlled expectation for fields, normalized values, and classifications, required ExtractedFieldCandidate records are created, and all required source anchors or provenance links resolve correctly.</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TC-FR-EXT-03</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FR-EXT-03</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Normalization and Deterministic Validation Service</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CanonicalFieldRecord</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Unit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The system shall normalize extracted units, labels, and values into schema-compatible forms.</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Preprocessed artifact payloads with expected engineering entities, topology cues, units, and source anchors.</w:t>
            </w:r>
          </w:p>
          <w:p>
            <w:pPr>
              <w:spacing w:after="20" w:line="240" w:lineRule="auto"/>
            </w:pPr>
            <w:r>
              <w:rPr>
                <w:rFonts w:ascii="Calibri" w:hAnsi="Calibri" w:eastAsia="Calibri"/>
                <w:b/>
                <w:sz w:val="16"/>
              </w:rPr>
              <w:t xml:space="preserve">Procedure: </w:t>
            </w:r>
            <w:r>
              <w:rPr>
                <w:rFonts w:ascii="Calibri" w:hAnsi="Calibri" w:eastAsia="Calibri"/>
                <w:b w:val="0"/>
                <w:sz w:val="16"/>
              </w:rPr>
              <w:t>Run the Normalization and Deterministic Validation Service on the prepared artifact payloads and verify unit normalization and type validation. Inspect extracted candidate records, normalized values, ontology mappings, and evidence anchors associated with the controlled input.</w:t>
            </w:r>
          </w:p>
          <w:p>
            <w:pPr>
              <w:spacing w:after="20" w:line="240" w:lineRule="auto"/>
            </w:pPr>
            <w:r>
              <w:rPr>
                <w:rFonts w:ascii="Calibri" w:hAnsi="Calibri" w:eastAsia="Calibri"/>
                <w:b/>
                <w:sz w:val="16"/>
              </w:rPr>
              <w:t xml:space="preserve">Expected outcome: </w:t>
            </w:r>
            <w:r>
              <w:rPr>
                <w:rFonts w:ascii="Calibri" w:hAnsi="Calibri" w:eastAsia="Calibri"/>
                <w:b w:val="0"/>
                <w:sz w:val="16"/>
              </w:rPr>
              <w:t>The service produces the expected structured extraction result set, including normalized values, ontology assignments, and evidence linkage required for downstream use.</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extracted result set matches the controlled expectation for fields, normalized values, and classifications, required CanonicalFieldRecord records are created, and all required source anchors or provenance links resolve correctly.</w:t>
            </w:r>
          </w:p>
        </w:tc>
      </w:tr>
      <w:tr>
        <w:trPr>
          <w:cantSplit/>
        </w:trPr>
        <w:tc>
          <w:tcPr>
            <w:tcW w:type="dxa" w:w="1152"/>
            <w:vAlign w:val="center"/>
            <w:tcMar>
              <w:top w:w="80" w:type="dxa"/>
              <w:start w:w="85" w:type="dxa"/>
              <w:bottom w:w="80" w:type="dxa"/>
              <w:end w:w="85" w:type="dxa"/>
            </w:tcMar>
            <w:shd w:fill="F7FBFF"/>
          </w:tcPr>
          <w:p>
            <w:pPr>
              <w:spacing w:after="40" w:line="240" w:lineRule="auto"/>
            </w:pPr>
            <w:r>
              <w:rPr>
                <w:rFonts w:ascii="Calibri" w:hAnsi="Calibri" w:eastAsia="Calibri"/>
                <w:b/>
                <w:sz w:val="16"/>
              </w:rPr>
              <w:t>TC-FR-EXT-04</w:t>
            </w:r>
          </w:p>
        </w:tc>
        <w:tc>
          <w:tcPr>
            <w:tcW w:type="dxa" w:w="1339"/>
            <w:vAlign w:val="center"/>
            <w:tcMar>
              <w:top w:w="80" w:type="dxa"/>
              <w:start w:w="85" w:type="dxa"/>
              <w:bottom w:w="80" w:type="dxa"/>
              <w:end w:w="85" w:type="dxa"/>
            </w:tcMar>
            <w:shd w:fill="F7FBFF"/>
          </w:tcPr>
          <w:p>
            <w:pPr>
              <w:spacing w:after="40" w:line="240" w:lineRule="auto"/>
            </w:pPr>
            <w:r>
              <w:rPr>
                <w:rFonts w:ascii="Calibri" w:hAnsi="Calibri" w:eastAsia="Calibri"/>
                <w:b/>
                <w:sz w:val="16"/>
              </w:rPr>
              <w:t>FR-EXT-04</w:t>
            </w:r>
          </w:p>
        </w:tc>
        <w:tc>
          <w:tcPr>
            <w:tcW w:type="dxa" w:w="2477"/>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Extraction and Ontology Classification Service</w:t>
            </w:r>
          </w:p>
        </w:tc>
        <w:tc>
          <w:tcPr>
            <w:tcW w:type="dxa" w:w="2189"/>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OntologyConcept, OntologyMapping</w:t>
            </w:r>
          </w:p>
        </w:tc>
        <w:tc>
          <w:tcPr>
            <w:tcW w:type="dxa" w:w="138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Unit Test</w:t>
            </w:r>
          </w:p>
        </w:tc>
        <w:tc>
          <w:tcPr>
            <w:tcW w:type="dxa" w:w="367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The system shall classify extracted concepts against the GridSenpAI domain ontology so that equivalent concepts from different source vocabularies map to canonical meanings.</w:t>
            </w:r>
          </w:p>
        </w:tc>
        <w:tc>
          <w:tcPr>
            <w:tcW w:type="dxa" w:w="4104"/>
            <w:vAlign w:val="center"/>
            <w:tcMar>
              <w:top w:w="80" w:type="dxa"/>
              <w:start w:w="85" w:type="dxa"/>
              <w:bottom w:w="80" w:type="dxa"/>
              <w:end w:w="85" w:type="dxa"/>
            </w:tcMar>
            <w:shd w:fill="F7FBFF"/>
            <w:shd w:fill="F7FBFF"/>
          </w:tcPr>
          <w:p>
            <w:pPr>
              <w:spacing w:after="20" w:line="240" w:lineRule="auto"/>
            </w:pPr>
            <w:r/>
            <w:r>
              <w:rPr>
                <w:rFonts w:ascii="Calibri" w:hAnsi="Calibri" w:eastAsia="Calibri"/>
                <w:b/>
                <w:sz w:val="16"/>
              </w:rPr>
              <w:t xml:space="preserve">Test data: </w:t>
            </w:r>
            <w:r>
              <w:rPr>
                <w:rFonts w:ascii="Calibri" w:hAnsi="Calibri" w:eastAsia="Calibri"/>
                <w:b w:val="0"/>
                <w:sz w:val="16"/>
              </w:rPr>
              <w:t>Preprocessed artifact payloads with expected engineering entities, topology cues, units, and source anchors.</w:t>
            </w:r>
          </w:p>
          <w:p>
            <w:pPr>
              <w:spacing w:after="20" w:line="240" w:lineRule="auto"/>
            </w:pPr>
            <w:r>
              <w:rPr>
                <w:rFonts w:ascii="Calibri" w:hAnsi="Calibri" w:eastAsia="Calibri"/>
                <w:b/>
                <w:sz w:val="16"/>
              </w:rPr>
              <w:t xml:space="preserve">Procedure: </w:t>
            </w:r>
            <w:r>
              <w:rPr>
                <w:rFonts w:ascii="Calibri" w:hAnsi="Calibri" w:eastAsia="Calibri"/>
                <w:b w:val="0"/>
                <w:sz w:val="16"/>
              </w:rPr>
              <w:t>Run the Extraction and Ontology Classification Service on the prepared artifact payloads and verify ontology classification. Inspect extracted candidate records, normalized values, ontology mappings, and evidence anchors associated with the controlled input.</w:t>
            </w:r>
          </w:p>
          <w:p>
            <w:pPr>
              <w:spacing w:after="20" w:line="240" w:lineRule="auto"/>
            </w:pPr>
            <w:r>
              <w:rPr>
                <w:rFonts w:ascii="Calibri" w:hAnsi="Calibri" w:eastAsia="Calibri"/>
                <w:b/>
                <w:sz w:val="16"/>
              </w:rPr>
              <w:t xml:space="preserve">Expected outcome: </w:t>
            </w:r>
            <w:r>
              <w:rPr>
                <w:rFonts w:ascii="Calibri" w:hAnsi="Calibri" w:eastAsia="Calibri"/>
                <w:b w:val="0"/>
                <w:sz w:val="16"/>
              </w:rPr>
              <w:t>The service produces the expected structured extraction result set, including normalized values, ontology assignments, and evidence linkage required for downstream use.</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extracted result set matches the controlled expectation for fields, normalized values, and classifications, required OntologyConcept, OntologyMapping records are created, and all required source anchors or provenance links resolve correctly.</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TC-FR-EXT-05</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FR-EXT-05</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Extraction and Ontology Classification Service</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ProvenanceRecord, SourceAnchor</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The system shall retain source anchors and evidence references for extracted values so downstream outputs can cite their origin.</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Preprocessed artifact payloads with expected engineering entities, topology cues, units, and source anchors.</w:t>
            </w:r>
          </w:p>
          <w:p>
            <w:pPr>
              <w:spacing w:after="20" w:line="240" w:lineRule="auto"/>
            </w:pPr>
            <w:r>
              <w:rPr>
                <w:rFonts w:ascii="Calibri" w:hAnsi="Calibri" w:eastAsia="Calibri"/>
                <w:b/>
                <w:sz w:val="16"/>
              </w:rPr>
              <w:t xml:space="preserve">Procedure: </w:t>
            </w:r>
            <w:r>
              <w:rPr>
                <w:rFonts w:ascii="Calibri" w:hAnsi="Calibri" w:eastAsia="Calibri"/>
                <w:b w:val="0"/>
                <w:sz w:val="16"/>
              </w:rPr>
              <w:t>Run the Extraction and Ontology Classification Service on the prepared artifact payloads and verify evidence linkage to artifacts. Inspect extracted candidate records, normalized values, ontology mappings, and evidence anchors associated with the controlled input.</w:t>
            </w:r>
          </w:p>
          <w:p>
            <w:pPr>
              <w:spacing w:after="20" w:line="240" w:lineRule="auto"/>
            </w:pPr>
            <w:r>
              <w:rPr>
                <w:rFonts w:ascii="Calibri" w:hAnsi="Calibri" w:eastAsia="Calibri"/>
                <w:b/>
                <w:sz w:val="16"/>
              </w:rPr>
              <w:t xml:space="preserve">Expected outcome: </w:t>
            </w:r>
            <w:r>
              <w:rPr>
                <w:rFonts w:ascii="Calibri" w:hAnsi="Calibri" w:eastAsia="Calibri"/>
                <w:b w:val="0"/>
                <w:sz w:val="16"/>
              </w:rPr>
              <w:t>The service produces the expected structured extraction result set, including normalized values, ontology assignments, and evidence linkage required for downstream use.</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extracted result set matches the controlled expectation for fields, normalized values, and classifications, required ProvenanceRecord, SourceAnchor records are created, and all required source anchors or provenance links resolve correctly.</w:t>
            </w:r>
          </w:p>
        </w:tc>
      </w:tr>
    </w:tbl>
    <w:p>
      <w:pPr>
        <w:spacing w:after="80"/>
      </w:pPr>
    </w:p>
    <w:p>
      <w:pPr>
        <w:keepNext/>
        <w:spacing w:before="200" w:after="80"/>
      </w:pPr>
      <w:r>
        <w:rPr>
          <w:rFonts w:ascii="Aptos" w:hAnsi="Aptos" w:eastAsia="Aptos"/>
          <w:b/>
          <w:color w:val="1F4E79"/>
          <w:sz w:val="28"/>
        </w:rPr>
        <w:t>6.3 Functional Requirement Verification — Retrieval and Knowledge Support</w:t>
      </w:r>
    </w:p>
    <w:p>
      <w:pPr>
        <w:spacing w:after="80"/>
      </w:pPr>
      <w:r>
        <w:rPr>
          <w:rFonts w:ascii="Aptos" w:hAnsi="Aptos" w:eastAsia="Aptos"/>
          <w:sz w:val="22"/>
        </w:rPr>
        <w:t>The following matrix provides requirement-level verification coverage for this requirement family.</w:t>
      </w:r>
    </w:p>
    <w:tbl>
      <w:tblPr>
        <w:tblStyle w:val="TableGrid"/>
        <w:tblW w:type="auto" w:w="0"/>
        <w:jc w:val="center"/>
        <w:tblLook w:firstColumn="1" w:firstRow="1" w:lastColumn="0" w:lastRow="0" w:noHBand="0" w:noVBand="1" w:val="04A0"/>
      </w:tblPr>
      <w:tblGrid>
        <w:gridCol w:w="2037"/>
        <w:gridCol w:w="2037"/>
        <w:gridCol w:w="2037"/>
        <w:gridCol w:w="2037"/>
        <w:gridCol w:w="2037"/>
        <w:gridCol w:w="2037"/>
        <w:gridCol w:w="2037"/>
      </w:tblGrid>
      <w:tr>
        <w:trPr>
          <w:tblHeader w:val="true"/>
        </w:trPr>
        <w:tc>
          <w:tcPr>
            <w:tcW w:type="dxa" w:w="1152"/>
            <w:vAlign w:val="center"/>
            <w:shd w:fill="1F4E78"/>
            <w:tcMar>
              <w:top w:w="90" w:type="dxa"/>
              <w:start w:w="90" w:type="dxa"/>
              <w:bottom w:w="90" w:type="dxa"/>
              <w:end w:w="90" w:type="dxa"/>
            </w:tcMar>
          </w:tcPr>
          <w:p>
            <w:pPr>
              <w:jc w:val="center"/>
            </w:pPr>
            <w:r>
              <w:rPr>
                <w:rFonts w:ascii="Calibri" w:hAnsi="Calibri" w:eastAsia="Calibri"/>
                <w:b/>
                <w:color w:val="FFFFFF"/>
                <w:sz w:val="17"/>
              </w:rPr>
              <w:t>Test Case</w:t>
            </w:r>
          </w:p>
        </w:tc>
        <w:tc>
          <w:tcPr>
            <w:tcW w:type="dxa" w:w="1339"/>
            <w:vAlign w:val="center"/>
            <w:shd w:fill="1F4E78"/>
            <w:tcMar>
              <w:top w:w="90" w:type="dxa"/>
              <w:start w:w="90" w:type="dxa"/>
              <w:bottom w:w="90" w:type="dxa"/>
              <w:end w:w="90" w:type="dxa"/>
            </w:tcMar>
          </w:tcPr>
          <w:p>
            <w:pPr>
              <w:jc w:val="center"/>
            </w:pPr>
            <w:r>
              <w:rPr>
                <w:rFonts w:ascii="Calibri" w:hAnsi="Calibri" w:eastAsia="Calibri"/>
                <w:b/>
                <w:color w:val="FFFFFF"/>
                <w:sz w:val="17"/>
              </w:rPr>
              <w:t>Requirement</w:t>
            </w:r>
          </w:p>
        </w:tc>
        <w:tc>
          <w:tcPr>
            <w:tcW w:type="dxa" w:w="2477"/>
            <w:vAlign w:val="center"/>
            <w:shd w:fill="1F4E78"/>
            <w:tcMar>
              <w:top w:w="90" w:type="dxa"/>
              <w:start w:w="90" w:type="dxa"/>
              <w:bottom w:w="90" w:type="dxa"/>
              <w:end w:w="90" w:type="dxa"/>
            </w:tcMar>
          </w:tcPr>
          <w:p>
            <w:pPr>
              <w:jc w:val="center"/>
            </w:pPr>
            <w:r>
              <w:rPr>
                <w:rFonts w:ascii="Calibri" w:hAnsi="Calibri" w:eastAsia="Calibri"/>
                <w:b/>
                <w:color w:val="FFFFFF"/>
                <w:sz w:val="17"/>
              </w:rPr>
              <w:t>Implementing Component(s)</w:t>
            </w:r>
          </w:p>
        </w:tc>
        <w:tc>
          <w:tcPr>
            <w:tcW w:type="dxa" w:w="2189"/>
            <w:vAlign w:val="center"/>
            <w:shd w:fill="1F4E78"/>
            <w:tcMar>
              <w:top w:w="90" w:type="dxa"/>
              <w:start w:w="90" w:type="dxa"/>
              <w:bottom w:w="90" w:type="dxa"/>
              <w:end w:w="90" w:type="dxa"/>
            </w:tcMar>
          </w:tcPr>
          <w:p>
            <w:pPr>
              <w:jc w:val="center"/>
            </w:pPr>
            <w:r>
              <w:rPr>
                <w:rFonts w:ascii="Calibri" w:hAnsi="Calibri" w:eastAsia="Calibri"/>
                <w:b/>
                <w:color w:val="FFFFFF"/>
                <w:sz w:val="17"/>
              </w:rPr>
              <w:t>Supporting Data Structures</w:t>
            </w:r>
          </w:p>
        </w:tc>
        <w:tc>
          <w:tcPr>
            <w:tcW w:type="dxa" w:w="1382"/>
            <w:vAlign w:val="center"/>
            <w:shd w:fill="1F4E78"/>
            <w:tcMar>
              <w:top w:w="90" w:type="dxa"/>
              <w:start w:w="90" w:type="dxa"/>
              <w:bottom w:w="90" w:type="dxa"/>
              <w:end w:w="90" w:type="dxa"/>
            </w:tcMar>
          </w:tcPr>
          <w:p>
            <w:pPr>
              <w:jc w:val="center"/>
            </w:pPr>
            <w:r>
              <w:rPr>
                <w:rFonts w:ascii="Calibri" w:hAnsi="Calibri" w:eastAsia="Calibri"/>
                <w:b/>
                <w:color w:val="FFFFFF"/>
                <w:sz w:val="17"/>
              </w:rPr>
              <w:t>Method</w:t>
            </w:r>
          </w:p>
        </w:tc>
        <w:tc>
          <w:tcPr>
            <w:tcW w:type="dxa" w:w="3672"/>
            <w:vAlign w:val="center"/>
            <w:shd w:fill="1F4E78"/>
            <w:tcMar>
              <w:top w:w="90" w:type="dxa"/>
              <w:start w:w="90" w:type="dxa"/>
              <w:bottom w:w="90" w:type="dxa"/>
              <w:end w:w="90" w:type="dxa"/>
            </w:tcMar>
          </w:tcPr>
          <w:p>
            <w:pPr>
              <w:jc w:val="center"/>
            </w:pPr>
            <w:r>
              <w:rPr>
                <w:rFonts w:ascii="Calibri" w:hAnsi="Calibri" w:eastAsia="Calibri"/>
                <w:b/>
                <w:color w:val="FFFFFF"/>
                <w:sz w:val="17"/>
              </w:rPr>
              <w:t>Requirement Statement</w:t>
            </w:r>
          </w:p>
        </w:tc>
        <w:tc>
          <w:tcPr>
            <w:tcW w:type="dxa" w:w="4104"/>
            <w:vAlign w:val="center"/>
            <w:shd w:fill="1F4E78"/>
            <w:tcMar>
              <w:top w:w="90" w:type="dxa"/>
              <w:start w:w="90" w:type="dxa"/>
              <w:bottom w:w="90" w:type="dxa"/>
              <w:end w:w="90" w:type="dxa"/>
            </w:tcMar>
          </w:tcPr>
          <w:p>
            <w:pPr>
              <w:jc w:val="center"/>
            </w:pPr>
            <w:r>
              <w:rPr>
                <w:rFonts w:ascii="Calibri" w:hAnsi="Calibri" w:eastAsia="Calibri"/>
                <w:b/>
                <w:color w:val="FFFFFF"/>
                <w:sz w:val="17"/>
              </w:rPr>
              <w:t>Verification Detail</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TC-FR-RAG-01</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FR-RAG-01</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Retrieval and Knowledge Support Service</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EvidenceBundle, EvidenceSnippet</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Integration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The system shall retrieve vendor specification details, equipment behavior references, interconnection guidance, and modeling references using a grounded retrieval workflow.</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Version-pinned equipment-reference, interconnection-guidance, and modeling-reference corpora plus controlled retrieval queries.</w:t>
            </w:r>
          </w:p>
          <w:p>
            <w:pPr>
              <w:spacing w:after="20" w:line="240" w:lineRule="auto"/>
            </w:pPr>
            <w:r>
              <w:rPr>
                <w:rFonts w:ascii="Calibri" w:hAnsi="Calibri" w:eastAsia="Calibri"/>
                <w:b/>
                <w:sz w:val="16"/>
              </w:rPr>
              <w:t xml:space="preserve">Procedure: </w:t>
            </w:r>
            <w:r>
              <w:rPr>
                <w:rFonts w:ascii="Calibri" w:hAnsi="Calibri" w:eastAsia="Calibri"/>
                <w:b w:val="0"/>
                <w:sz w:val="16"/>
              </w:rPr>
              <w:t>Execute the Retrieval and Knowledge Support Service using the version-pinned corpora and validate retrieval of equipment references. Inspect the retrieved evidence bundle, source-family routing, snippet anchors, and explicit evidence-gap handling behavior.</w:t>
            </w:r>
          </w:p>
          <w:p>
            <w:pPr>
              <w:spacing w:after="20" w:line="240" w:lineRule="auto"/>
            </w:pPr>
            <w:r>
              <w:rPr>
                <w:rFonts w:ascii="Calibri" w:hAnsi="Calibri" w:eastAsia="Calibri"/>
                <w:b/>
                <w:sz w:val="16"/>
              </w:rPr>
              <w:t xml:space="preserve">Expected outcome: </w:t>
            </w:r>
            <w:r>
              <w:rPr>
                <w:rFonts w:ascii="Calibri" w:hAnsi="Calibri" w:eastAsia="Calibri"/>
                <w:b w:val="0"/>
                <w:sz w:val="16"/>
              </w:rPr>
              <w:t>The system returns the expected source-family evidence bundle or explicitly records an evidence gap instead of fabricating support.</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retrieval returns the correct source-family evidence or an explicit evidence-gap condition, required EvidenceBundle, EvidenceSnippet records are created, and no unsupported value is introduced to satisfy the requirement.</w:t>
            </w:r>
          </w:p>
        </w:tc>
      </w:tr>
      <w:tr>
        <w:trPr>
          <w:cantSplit/>
        </w:trPr>
        <w:tc>
          <w:tcPr>
            <w:tcW w:type="dxa" w:w="1152"/>
            <w:vAlign w:val="center"/>
            <w:tcMar>
              <w:top w:w="80" w:type="dxa"/>
              <w:start w:w="85" w:type="dxa"/>
              <w:bottom w:w="80" w:type="dxa"/>
              <w:end w:w="85" w:type="dxa"/>
            </w:tcMar>
            <w:shd w:fill="F7FBFF"/>
          </w:tcPr>
          <w:p>
            <w:pPr>
              <w:spacing w:after="40" w:line="240" w:lineRule="auto"/>
            </w:pPr>
            <w:r>
              <w:rPr>
                <w:rFonts w:ascii="Calibri" w:hAnsi="Calibri" w:eastAsia="Calibri"/>
                <w:b/>
                <w:sz w:val="16"/>
              </w:rPr>
              <w:t>TC-FR-RAG-02</w:t>
            </w:r>
          </w:p>
        </w:tc>
        <w:tc>
          <w:tcPr>
            <w:tcW w:type="dxa" w:w="1339"/>
            <w:vAlign w:val="center"/>
            <w:tcMar>
              <w:top w:w="80" w:type="dxa"/>
              <w:start w:w="85" w:type="dxa"/>
              <w:bottom w:w="80" w:type="dxa"/>
              <w:end w:w="85" w:type="dxa"/>
            </w:tcMar>
            <w:shd w:fill="F7FBFF"/>
          </w:tcPr>
          <w:p>
            <w:pPr>
              <w:spacing w:after="40" w:line="240" w:lineRule="auto"/>
            </w:pPr>
            <w:r>
              <w:rPr>
                <w:rFonts w:ascii="Calibri" w:hAnsi="Calibri" w:eastAsia="Calibri"/>
                <w:b/>
                <w:sz w:val="16"/>
              </w:rPr>
              <w:t>FR-RAG-02</w:t>
            </w:r>
          </w:p>
        </w:tc>
        <w:tc>
          <w:tcPr>
            <w:tcW w:type="dxa" w:w="2477"/>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Retrieval and Knowledge Support Service</w:t>
            </w:r>
          </w:p>
        </w:tc>
        <w:tc>
          <w:tcPr>
            <w:tcW w:type="dxa" w:w="2189"/>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EvidenceSource</w:t>
            </w:r>
          </w:p>
        </w:tc>
        <w:tc>
          <w:tcPr>
            <w:tcW w:type="dxa" w:w="138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The retrievable corpus shall include, where available, UPS systems, backup generators, transformers, switchgear, relays, cooling systems, mechanical plant equipment, VFDs, and other major load-driving equipment.</w:t>
            </w:r>
          </w:p>
        </w:tc>
        <w:tc>
          <w:tcPr>
            <w:tcW w:type="dxa" w:w="4104"/>
            <w:vAlign w:val="center"/>
            <w:tcMar>
              <w:top w:w="80" w:type="dxa"/>
              <w:start w:w="85" w:type="dxa"/>
              <w:bottom w:w="80" w:type="dxa"/>
              <w:end w:w="85" w:type="dxa"/>
            </w:tcMar>
            <w:shd w:fill="F7FBFF"/>
            <w:shd w:fill="F7FBFF"/>
          </w:tcPr>
          <w:p>
            <w:pPr>
              <w:spacing w:after="20" w:line="240" w:lineRule="auto"/>
            </w:pPr>
            <w:r/>
            <w:r>
              <w:rPr>
                <w:rFonts w:ascii="Calibri" w:hAnsi="Calibri" w:eastAsia="Calibri"/>
                <w:b/>
                <w:sz w:val="16"/>
              </w:rPr>
              <w:t xml:space="preserve">Test data: </w:t>
            </w:r>
            <w:r>
              <w:rPr>
                <w:rFonts w:ascii="Calibri" w:hAnsi="Calibri" w:eastAsia="Calibri"/>
                <w:b w:val="0"/>
                <w:sz w:val="16"/>
              </w:rPr>
              <w:t>Version-pinned equipment-reference, interconnection-guidance, and modeling-reference corpora plus controlled retrieval queries.</w:t>
            </w:r>
          </w:p>
          <w:p>
            <w:pPr>
              <w:spacing w:after="20" w:line="240" w:lineRule="auto"/>
            </w:pPr>
            <w:r>
              <w:rPr>
                <w:rFonts w:ascii="Calibri" w:hAnsi="Calibri" w:eastAsia="Calibri"/>
                <w:b/>
                <w:sz w:val="16"/>
              </w:rPr>
              <w:t xml:space="preserve">Procedure: </w:t>
            </w:r>
            <w:r>
              <w:rPr>
                <w:rFonts w:ascii="Calibri" w:hAnsi="Calibri" w:eastAsia="Calibri"/>
                <w:b w:val="0"/>
                <w:sz w:val="16"/>
              </w:rPr>
              <w:t>Execute the Retrieval and Knowledge Support Service using the version-pinned corpora and verify retrieval from equipment corpus. Inspect the retrieved evidence bundle, source-family routing, snippet anchors, and explicit evidence-gap handling behavior.</w:t>
            </w:r>
          </w:p>
          <w:p>
            <w:pPr>
              <w:spacing w:after="20" w:line="240" w:lineRule="auto"/>
            </w:pPr>
            <w:r>
              <w:rPr>
                <w:rFonts w:ascii="Calibri" w:hAnsi="Calibri" w:eastAsia="Calibri"/>
                <w:b/>
                <w:sz w:val="16"/>
              </w:rPr>
              <w:t xml:space="preserve">Expected outcome: </w:t>
            </w:r>
            <w:r>
              <w:rPr>
                <w:rFonts w:ascii="Calibri" w:hAnsi="Calibri" w:eastAsia="Calibri"/>
                <w:b w:val="0"/>
                <w:sz w:val="16"/>
              </w:rPr>
              <w:t>The system returns the expected source-family evidence bundle or explicitly records an evidence gap instead of fabricating support.</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retrieval returns the correct source-family evidence or an explicit evidence-gap condition, required EvidenceSource records are created, and no unsupported value is introduced to satisfy the requirement.</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TC-FR-RAG-03</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FR-RAG-03</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Retrieval and Knowledge Support Service</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EvidenceBundle</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Integration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The system shall support distinct knowledge families for equipment references, interconnection/planning guidance, and modeling references so retrieval results can be interpreted according to source type.</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Version-pinned equipment-reference, interconnection-guidance, and modeling-reference corpora plus controlled retrieval queries.</w:t>
            </w:r>
          </w:p>
          <w:p>
            <w:pPr>
              <w:spacing w:after="20" w:line="240" w:lineRule="auto"/>
            </w:pPr>
            <w:r>
              <w:rPr>
                <w:rFonts w:ascii="Calibri" w:hAnsi="Calibri" w:eastAsia="Calibri"/>
                <w:b/>
                <w:sz w:val="16"/>
              </w:rPr>
              <w:t xml:space="preserve">Procedure: </w:t>
            </w:r>
            <w:r>
              <w:rPr>
                <w:rFonts w:ascii="Calibri" w:hAnsi="Calibri" w:eastAsia="Calibri"/>
                <w:b w:val="0"/>
                <w:sz w:val="16"/>
              </w:rPr>
              <w:t>Execute the Retrieval and Knowledge Support Service using the version-pinned corpora and verify routing by source family. Inspect the retrieved evidence bundle, source-family routing, snippet anchors, and explicit evidence-gap handling behavior.</w:t>
            </w:r>
          </w:p>
          <w:p>
            <w:pPr>
              <w:spacing w:after="20" w:line="240" w:lineRule="auto"/>
            </w:pPr>
            <w:r>
              <w:rPr>
                <w:rFonts w:ascii="Calibri" w:hAnsi="Calibri" w:eastAsia="Calibri"/>
                <w:b/>
                <w:sz w:val="16"/>
              </w:rPr>
              <w:t xml:space="preserve">Expected outcome: </w:t>
            </w:r>
            <w:r>
              <w:rPr>
                <w:rFonts w:ascii="Calibri" w:hAnsi="Calibri" w:eastAsia="Calibri"/>
                <w:b w:val="0"/>
                <w:sz w:val="16"/>
              </w:rPr>
              <w:t>The system returns the expected source-family evidence bundle or explicitly records an evidence gap instead of fabricating support.</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retrieval returns the correct source-family evidence or an explicit evidence-gap condition, required EvidenceBundle records are created, and no unsupported value is introduced to satisfy the requirement.</w:t>
            </w:r>
          </w:p>
        </w:tc>
      </w:tr>
      <w:tr>
        <w:trPr>
          <w:cantSplit/>
        </w:trPr>
        <w:tc>
          <w:tcPr>
            <w:tcW w:type="dxa" w:w="1152"/>
            <w:vAlign w:val="center"/>
            <w:tcMar>
              <w:top w:w="80" w:type="dxa"/>
              <w:start w:w="85" w:type="dxa"/>
              <w:bottom w:w="80" w:type="dxa"/>
              <w:end w:w="85" w:type="dxa"/>
            </w:tcMar>
            <w:shd w:fill="F7FBFF"/>
          </w:tcPr>
          <w:p>
            <w:pPr>
              <w:spacing w:after="40" w:line="240" w:lineRule="auto"/>
            </w:pPr>
            <w:r>
              <w:rPr>
                <w:rFonts w:ascii="Calibri" w:hAnsi="Calibri" w:eastAsia="Calibri"/>
                <w:b/>
                <w:sz w:val="16"/>
              </w:rPr>
              <w:t>TC-FR-RAG-04</w:t>
            </w:r>
          </w:p>
        </w:tc>
        <w:tc>
          <w:tcPr>
            <w:tcW w:type="dxa" w:w="1339"/>
            <w:vAlign w:val="center"/>
            <w:tcMar>
              <w:top w:w="80" w:type="dxa"/>
              <w:start w:w="85" w:type="dxa"/>
              <w:bottom w:w="80" w:type="dxa"/>
              <w:end w:w="85" w:type="dxa"/>
            </w:tcMar>
            <w:shd w:fill="F7FBFF"/>
          </w:tcPr>
          <w:p>
            <w:pPr>
              <w:spacing w:after="40" w:line="240" w:lineRule="auto"/>
            </w:pPr>
            <w:r>
              <w:rPr>
                <w:rFonts w:ascii="Calibri" w:hAnsi="Calibri" w:eastAsia="Calibri"/>
                <w:b/>
                <w:sz w:val="16"/>
              </w:rPr>
              <w:t>FR-RAG-04</w:t>
            </w:r>
          </w:p>
        </w:tc>
        <w:tc>
          <w:tcPr>
            <w:tcW w:type="dxa" w:w="2477"/>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Retrieval and Knowledge Support Service</w:t>
            </w:r>
          </w:p>
        </w:tc>
        <w:tc>
          <w:tcPr>
            <w:tcW w:type="dxa" w:w="2189"/>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OntologyConcept</w:t>
            </w:r>
          </w:p>
        </w:tc>
        <w:tc>
          <w:tcPr>
            <w:tcW w:type="dxa" w:w="138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Unit Test</w:t>
            </w:r>
          </w:p>
        </w:tc>
        <w:tc>
          <w:tcPr>
            <w:tcW w:type="dxa" w:w="367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The system shall maintain terminology and concept-mapping content that supports translation between facility-side language and grid-side modeling language.</w:t>
            </w:r>
          </w:p>
        </w:tc>
        <w:tc>
          <w:tcPr>
            <w:tcW w:type="dxa" w:w="4104"/>
            <w:vAlign w:val="center"/>
            <w:tcMar>
              <w:top w:w="80" w:type="dxa"/>
              <w:start w:w="85" w:type="dxa"/>
              <w:bottom w:w="80" w:type="dxa"/>
              <w:end w:w="85" w:type="dxa"/>
            </w:tcMar>
            <w:shd w:fill="F7FBFF"/>
            <w:shd w:fill="F7FBFF"/>
          </w:tcPr>
          <w:p>
            <w:pPr>
              <w:spacing w:after="20" w:line="240" w:lineRule="auto"/>
            </w:pPr>
            <w:r/>
            <w:r>
              <w:rPr>
                <w:rFonts w:ascii="Calibri" w:hAnsi="Calibri" w:eastAsia="Calibri"/>
                <w:b/>
                <w:sz w:val="16"/>
              </w:rPr>
              <w:t xml:space="preserve">Test data: </w:t>
            </w:r>
            <w:r>
              <w:rPr>
                <w:rFonts w:ascii="Calibri" w:hAnsi="Calibri" w:eastAsia="Calibri"/>
                <w:b w:val="0"/>
                <w:sz w:val="16"/>
              </w:rPr>
              <w:t>Version-pinned equipment-reference, interconnection-guidance, and modeling-reference corpora plus controlled retrieval queries.</w:t>
            </w:r>
          </w:p>
          <w:p>
            <w:pPr>
              <w:spacing w:after="20" w:line="240" w:lineRule="auto"/>
            </w:pPr>
            <w:r>
              <w:rPr>
                <w:rFonts w:ascii="Calibri" w:hAnsi="Calibri" w:eastAsia="Calibri"/>
                <w:b/>
                <w:sz w:val="16"/>
              </w:rPr>
              <w:t xml:space="preserve">Procedure: </w:t>
            </w:r>
            <w:r>
              <w:rPr>
                <w:rFonts w:ascii="Calibri" w:hAnsi="Calibri" w:eastAsia="Calibri"/>
                <w:b w:val="0"/>
                <w:sz w:val="16"/>
              </w:rPr>
              <w:t>Execute the Retrieval and Knowledge Support Service using the version-pinned corpora and validate terminology translation. Inspect the retrieved evidence bundle, source-family routing, snippet anchors, and explicit evidence-gap handling behavior.</w:t>
            </w:r>
          </w:p>
          <w:p>
            <w:pPr>
              <w:spacing w:after="20" w:line="240" w:lineRule="auto"/>
            </w:pPr>
            <w:r>
              <w:rPr>
                <w:rFonts w:ascii="Calibri" w:hAnsi="Calibri" w:eastAsia="Calibri"/>
                <w:b/>
                <w:sz w:val="16"/>
              </w:rPr>
              <w:t xml:space="preserve">Expected outcome: </w:t>
            </w:r>
            <w:r>
              <w:rPr>
                <w:rFonts w:ascii="Calibri" w:hAnsi="Calibri" w:eastAsia="Calibri"/>
                <w:b w:val="0"/>
                <w:sz w:val="16"/>
              </w:rPr>
              <w:t>The system returns the expected source-family evidence bundle or explicitly records an evidence gap instead of fabricating support.</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retrieval returns the correct source-family evidence or an explicit evidence-gap condition, required OntologyConcept records are created, and no unsupported value is introduced to satisfy the requirement.</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TC-FR-RAG-05</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FR-RAG-05</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Retrieval and Knowledge Support Service</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EvidenceBundle</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If required supporting evidence cannot be retrieved, the system shall flag the gap and request additional information rather than fabricating an unsupported value.</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Version-pinned equipment-reference, interconnection-guidance, and modeling-reference corpora plus controlled retrieval queries.</w:t>
            </w:r>
          </w:p>
          <w:p>
            <w:pPr>
              <w:spacing w:after="20" w:line="240" w:lineRule="auto"/>
            </w:pPr>
            <w:r>
              <w:rPr>
                <w:rFonts w:ascii="Calibri" w:hAnsi="Calibri" w:eastAsia="Calibri"/>
                <w:b/>
                <w:sz w:val="16"/>
              </w:rPr>
              <w:t xml:space="preserve">Procedure: </w:t>
            </w:r>
            <w:r>
              <w:rPr>
                <w:rFonts w:ascii="Calibri" w:hAnsi="Calibri" w:eastAsia="Calibri"/>
                <w:b w:val="0"/>
                <w:sz w:val="16"/>
              </w:rPr>
              <w:t>Execute the Retrieval and Knowledge Support Service using the version-pinned corpora and verify missing‑evidence detection. Inspect the retrieved evidence bundle, source-family routing, snippet anchors, and explicit evidence-gap handling behavior.</w:t>
            </w:r>
          </w:p>
          <w:p>
            <w:pPr>
              <w:spacing w:after="20" w:line="240" w:lineRule="auto"/>
            </w:pPr>
            <w:r>
              <w:rPr>
                <w:rFonts w:ascii="Calibri" w:hAnsi="Calibri" w:eastAsia="Calibri"/>
                <w:b/>
                <w:sz w:val="16"/>
              </w:rPr>
              <w:t xml:space="preserve">Expected outcome: </w:t>
            </w:r>
            <w:r>
              <w:rPr>
                <w:rFonts w:ascii="Calibri" w:hAnsi="Calibri" w:eastAsia="Calibri"/>
                <w:b w:val="0"/>
                <w:sz w:val="16"/>
              </w:rPr>
              <w:t>The system returns the expected source-family evidence bundle or explicitly records an evidence gap instead of fabricating support.</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retrieval returns the correct source-family evidence or an explicit evidence-gap condition, required EvidenceBundle records are created, and no unsupported value is introduced to satisfy the requirement.</w:t>
            </w:r>
          </w:p>
        </w:tc>
      </w:tr>
    </w:tbl>
    <w:p>
      <w:pPr>
        <w:spacing w:after="80"/>
      </w:pPr>
    </w:p>
    <w:p>
      <w:pPr>
        <w:keepNext/>
        <w:spacing w:before="200" w:after="80"/>
      </w:pPr>
      <w:r>
        <w:rPr>
          <w:rFonts w:ascii="Aptos" w:hAnsi="Aptos" w:eastAsia="Aptos"/>
          <w:b/>
          <w:color w:val="1F4E79"/>
          <w:sz w:val="28"/>
        </w:rPr>
        <w:t>6.4 Functional Requirement Verification — Structured Interview Intake</w:t>
      </w:r>
    </w:p>
    <w:p>
      <w:pPr>
        <w:spacing w:after="80"/>
      </w:pPr>
      <w:r>
        <w:rPr>
          <w:rFonts w:ascii="Aptos" w:hAnsi="Aptos" w:eastAsia="Aptos"/>
          <w:sz w:val="22"/>
        </w:rPr>
        <w:t>The following matrix provides requirement-level verification coverage for this requirement family.</w:t>
      </w:r>
    </w:p>
    <w:tbl>
      <w:tblPr>
        <w:tblStyle w:val="TableGrid"/>
        <w:tblW w:type="auto" w:w="0"/>
        <w:jc w:val="center"/>
        <w:tblLook w:firstColumn="1" w:firstRow="1" w:lastColumn="0" w:lastRow="0" w:noHBand="0" w:noVBand="1" w:val="04A0"/>
      </w:tblPr>
      <w:tblGrid>
        <w:gridCol w:w="2037"/>
        <w:gridCol w:w="2037"/>
        <w:gridCol w:w="2037"/>
        <w:gridCol w:w="2037"/>
        <w:gridCol w:w="2037"/>
        <w:gridCol w:w="2037"/>
        <w:gridCol w:w="2037"/>
      </w:tblGrid>
      <w:tr>
        <w:trPr>
          <w:tblHeader w:val="true"/>
        </w:trPr>
        <w:tc>
          <w:tcPr>
            <w:tcW w:type="dxa" w:w="1152"/>
            <w:vAlign w:val="center"/>
            <w:shd w:fill="1F4E78"/>
            <w:tcMar>
              <w:top w:w="90" w:type="dxa"/>
              <w:start w:w="90" w:type="dxa"/>
              <w:bottom w:w="90" w:type="dxa"/>
              <w:end w:w="90" w:type="dxa"/>
            </w:tcMar>
          </w:tcPr>
          <w:p>
            <w:pPr>
              <w:jc w:val="center"/>
            </w:pPr>
            <w:r>
              <w:rPr>
                <w:rFonts w:ascii="Calibri" w:hAnsi="Calibri" w:eastAsia="Calibri"/>
                <w:b/>
                <w:color w:val="FFFFFF"/>
                <w:sz w:val="17"/>
              </w:rPr>
              <w:t>Test Case</w:t>
            </w:r>
          </w:p>
        </w:tc>
        <w:tc>
          <w:tcPr>
            <w:tcW w:type="dxa" w:w="1339"/>
            <w:vAlign w:val="center"/>
            <w:shd w:fill="1F4E78"/>
            <w:tcMar>
              <w:top w:w="90" w:type="dxa"/>
              <w:start w:w="90" w:type="dxa"/>
              <w:bottom w:w="90" w:type="dxa"/>
              <w:end w:w="90" w:type="dxa"/>
            </w:tcMar>
          </w:tcPr>
          <w:p>
            <w:pPr>
              <w:jc w:val="center"/>
            </w:pPr>
            <w:r>
              <w:rPr>
                <w:rFonts w:ascii="Calibri" w:hAnsi="Calibri" w:eastAsia="Calibri"/>
                <w:b/>
                <w:color w:val="FFFFFF"/>
                <w:sz w:val="17"/>
              </w:rPr>
              <w:t>Requirement</w:t>
            </w:r>
          </w:p>
        </w:tc>
        <w:tc>
          <w:tcPr>
            <w:tcW w:type="dxa" w:w="2477"/>
            <w:vAlign w:val="center"/>
            <w:shd w:fill="1F4E78"/>
            <w:tcMar>
              <w:top w:w="90" w:type="dxa"/>
              <w:start w:w="90" w:type="dxa"/>
              <w:bottom w:w="90" w:type="dxa"/>
              <w:end w:w="90" w:type="dxa"/>
            </w:tcMar>
          </w:tcPr>
          <w:p>
            <w:pPr>
              <w:jc w:val="center"/>
            </w:pPr>
            <w:r>
              <w:rPr>
                <w:rFonts w:ascii="Calibri" w:hAnsi="Calibri" w:eastAsia="Calibri"/>
                <w:b/>
                <w:color w:val="FFFFFF"/>
                <w:sz w:val="17"/>
              </w:rPr>
              <w:t>Implementing Component(s)</w:t>
            </w:r>
          </w:p>
        </w:tc>
        <w:tc>
          <w:tcPr>
            <w:tcW w:type="dxa" w:w="2189"/>
            <w:vAlign w:val="center"/>
            <w:shd w:fill="1F4E78"/>
            <w:tcMar>
              <w:top w:w="90" w:type="dxa"/>
              <w:start w:w="90" w:type="dxa"/>
              <w:bottom w:w="90" w:type="dxa"/>
              <w:end w:w="90" w:type="dxa"/>
            </w:tcMar>
          </w:tcPr>
          <w:p>
            <w:pPr>
              <w:jc w:val="center"/>
            </w:pPr>
            <w:r>
              <w:rPr>
                <w:rFonts w:ascii="Calibri" w:hAnsi="Calibri" w:eastAsia="Calibri"/>
                <w:b/>
                <w:color w:val="FFFFFF"/>
                <w:sz w:val="17"/>
              </w:rPr>
              <w:t>Supporting Data Structures</w:t>
            </w:r>
          </w:p>
        </w:tc>
        <w:tc>
          <w:tcPr>
            <w:tcW w:type="dxa" w:w="1382"/>
            <w:vAlign w:val="center"/>
            <w:shd w:fill="1F4E78"/>
            <w:tcMar>
              <w:top w:w="90" w:type="dxa"/>
              <w:start w:w="90" w:type="dxa"/>
              <w:bottom w:w="90" w:type="dxa"/>
              <w:end w:w="90" w:type="dxa"/>
            </w:tcMar>
          </w:tcPr>
          <w:p>
            <w:pPr>
              <w:jc w:val="center"/>
            </w:pPr>
            <w:r>
              <w:rPr>
                <w:rFonts w:ascii="Calibri" w:hAnsi="Calibri" w:eastAsia="Calibri"/>
                <w:b/>
                <w:color w:val="FFFFFF"/>
                <w:sz w:val="17"/>
              </w:rPr>
              <w:t>Method</w:t>
            </w:r>
          </w:p>
        </w:tc>
        <w:tc>
          <w:tcPr>
            <w:tcW w:type="dxa" w:w="3672"/>
            <w:vAlign w:val="center"/>
            <w:shd w:fill="1F4E78"/>
            <w:tcMar>
              <w:top w:w="90" w:type="dxa"/>
              <w:start w:w="90" w:type="dxa"/>
              <w:bottom w:w="90" w:type="dxa"/>
              <w:end w:w="90" w:type="dxa"/>
            </w:tcMar>
          </w:tcPr>
          <w:p>
            <w:pPr>
              <w:jc w:val="center"/>
            </w:pPr>
            <w:r>
              <w:rPr>
                <w:rFonts w:ascii="Calibri" w:hAnsi="Calibri" w:eastAsia="Calibri"/>
                <w:b/>
                <w:color w:val="FFFFFF"/>
                <w:sz w:val="17"/>
              </w:rPr>
              <w:t>Requirement Statement</w:t>
            </w:r>
          </w:p>
        </w:tc>
        <w:tc>
          <w:tcPr>
            <w:tcW w:type="dxa" w:w="4104"/>
            <w:vAlign w:val="center"/>
            <w:shd w:fill="1F4E78"/>
            <w:tcMar>
              <w:top w:w="90" w:type="dxa"/>
              <w:start w:w="90" w:type="dxa"/>
              <w:bottom w:w="90" w:type="dxa"/>
              <w:end w:w="90" w:type="dxa"/>
            </w:tcMar>
          </w:tcPr>
          <w:p>
            <w:pPr>
              <w:jc w:val="center"/>
            </w:pPr>
            <w:r>
              <w:rPr>
                <w:rFonts w:ascii="Calibri" w:hAnsi="Calibri" w:eastAsia="Calibri"/>
                <w:b/>
                <w:color w:val="FFFFFF"/>
                <w:sz w:val="17"/>
              </w:rPr>
              <w:t>Verification Detail</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TC-FR-INT-01</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FR-INT-01</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Structured Interview Intake Service</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InterviewSession</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The system shall support a structured intake session that starts or resumes a project interview and tracks answered, inferred, conflicting, and still-missing fields.</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Structured intake session fixture with complete, missing, ambiguous, conflicting, and corrected responses.</w:t>
            </w:r>
          </w:p>
          <w:p>
            <w:pPr>
              <w:spacing w:after="20" w:line="240" w:lineRule="auto"/>
            </w:pPr>
            <w:r>
              <w:rPr>
                <w:rFonts w:ascii="Calibri" w:hAnsi="Calibri" w:eastAsia="Calibri"/>
                <w:b/>
                <w:sz w:val="16"/>
              </w:rPr>
              <w:t xml:space="preserve">Procedure: </w:t>
            </w:r>
            <w:r>
              <w:rPr>
                <w:rFonts w:ascii="Calibri" w:hAnsi="Calibri" w:eastAsia="Calibri"/>
                <w:b w:val="0"/>
                <w:sz w:val="16"/>
              </w:rPr>
              <w:t>Start or resume a structured intake session, apply the controlled response fixture, and create session and capture responses. Inspect question presentation, field-state transitions, structured answer persistence, and any canonical-state handoff triggered by the workflow.</w:t>
            </w:r>
          </w:p>
          <w:p>
            <w:pPr>
              <w:spacing w:after="20" w:line="240" w:lineRule="auto"/>
            </w:pPr>
            <w:r>
              <w:rPr>
                <w:rFonts w:ascii="Calibri" w:hAnsi="Calibri" w:eastAsia="Calibri"/>
                <w:b/>
                <w:sz w:val="16"/>
              </w:rPr>
              <w:t xml:space="preserve">Expected outcome: </w:t>
            </w:r>
            <w:r>
              <w:rPr>
                <w:rFonts w:ascii="Calibri" w:hAnsi="Calibri" w:eastAsia="Calibri"/>
                <w:b w:val="0"/>
                <w:sz w:val="16"/>
              </w:rPr>
              <w:t>The intake workflow presents the correct questions, persists structured answers and field states, and performs the required canonical handoff without redundant or uncontrolled behavior.</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expected session/question/answer state transition occurs, required InterviewSession records are persisted, already confirmed fields are not redundantly requested unless the test requires it, and any required canonical update is correctly linked.</w:t>
            </w:r>
          </w:p>
        </w:tc>
      </w:tr>
      <w:tr>
        <w:trPr>
          <w:cantSplit/>
        </w:trPr>
        <w:tc>
          <w:tcPr>
            <w:tcW w:type="dxa" w:w="1152"/>
            <w:vAlign w:val="center"/>
            <w:tcMar>
              <w:top w:w="80" w:type="dxa"/>
              <w:start w:w="85" w:type="dxa"/>
              <w:bottom w:w="80" w:type="dxa"/>
              <w:end w:w="85" w:type="dxa"/>
            </w:tcMar>
            <w:shd w:fill="F7FBFF"/>
          </w:tcPr>
          <w:p>
            <w:pPr>
              <w:spacing w:after="40" w:line="240" w:lineRule="auto"/>
            </w:pPr>
            <w:r>
              <w:rPr>
                <w:rFonts w:ascii="Calibri" w:hAnsi="Calibri" w:eastAsia="Calibri"/>
                <w:b/>
                <w:sz w:val="16"/>
              </w:rPr>
              <w:t>TC-FR-INT-02</w:t>
            </w:r>
          </w:p>
        </w:tc>
        <w:tc>
          <w:tcPr>
            <w:tcW w:type="dxa" w:w="1339"/>
            <w:vAlign w:val="center"/>
            <w:tcMar>
              <w:top w:w="80" w:type="dxa"/>
              <w:start w:w="85" w:type="dxa"/>
              <w:bottom w:w="80" w:type="dxa"/>
              <w:end w:w="85" w:type="dxa"/>
            </w:tcMar>
            <w:shd w:fill="F7FBFF"/>
          </w:tcPr>
          <w:p>
            <w:pPr>
              <w:spacing w:after="40" w:line="240" w:lineRule="auto"/>
            </w:pPr>
            <w:r>
              <w:rPr>
                <w:rFonts w:ascii="Calibri" w:hAnsi="Calibri" w:eastAsia="Calibri"/>
                <w:b/>
                <w:sz w:val="16"/>
              </w:rPr>
              <w:t>FR-INT-02</w:t>
            </w:r>
          </w:p>
        </w:tc>
        <w:tc>
          <w:tcPr>
            <w:tcW w:type="dxa" w:w="2477"/>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Structured Interview Intake Service</w:t>
            </w:r>
          </w:p>
        </w:tc>
        <w:tc>
          <w:tcPr>
            <w:tcW w:type="dxa" w:w="2189"/>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QuestionTemplate</w:t>
            </w:r>
          </w:p>
        </w:tc>
        <w:tc>
          <w:tcPr>
            <w:tcW w:type="dxa" w:w="138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The system shall present defined facility-design and interconnection-relevant questions when required data cannot be extracted with sufficient confidence from artifacts.</w:t>
            </w:r>
          </w:p>
        </w:tc>
        <w:tc>
          <w:tcPr>
            <w:tcW w:type="dxa" w:w="4104"/>
            <w:vAlign w:val="center"/>
            <w:tcMar>
              <w:top w:w="80" w:type="dxa"/>
              <w:start w:w="85" w:type="dxa"/>
              <w:bottom w:w="80" w:type="dxa"/>
              <w:end w:w="85" w:type="dxa"/>
            </w:tcMar>
            <w:shd w:fill="F7FBFF"/>
            <w:shd w:fill="F7FBFF"/>
          </w:tcPr>
          <w:p>
            <w:pPr>
              <w:spacing w:after="20" w:line="240" w:lineRule="auto"/>
            </w:pPr>
            <w:r/>
            <w:r>
              <w:rPr>
                <w:rFonts w:ascii="Calibri" w:hAnsi="Calibri" w:eastAsia="Calibri"/>
                <w:b/>
                <w:sz w:val="16"/>
              </w:rPr>
              <w:t xml:space="preserve">Test data: </w:t>
            </w:r>
            <w:r>
              <w:rPr>
                <w:rFonts w:ascii="Calibri" w:hAnsi="Calibri" w:eastAsia="Calibri"/>
                <w:b w:val="0"/>
                <w:sz w:val="16"/>
              </w:rPr>
              <w:t>Structured intake session fixture with complete, missing, ambiguous, conflicting, and corrected responses.</w:t>
            </w:r>
          </w:p>
          <w:p>
            <w:pPr>
              <w:spacing w:after="20" w:line="240" w:lineRule="auto"/>
            </w:pPr>
            <w:r>
              <w:rPr>
                <w:rFonts w:ascii="Calibri" w:hAnsi="Calibri" w:eastAsia="Calibri"/>
                <w:b/>
                <w:sz w:val="16"/>
              </w:rPr>
              <w:t xml:space="preserve">Procedure: </w:t>
            </w:r>
            <w:r>
              <w:rPr>
                <w:rFonts w:ascii="Calibri" w:hAnsi="Calibri" w:eastAsia="Calibri"/>
                <w:b w:val="0"/>
                <w:sz w:val="16"/>
              </w:rPr>
              <w:t>Start or resume a structured intake session, apply the controlled response fixture, and verify targeted question generation. Inspect question presentation, field-state transitions, structured answer persistence, and any canonical-state handoff triggered by the workflow.</w:t>
            </w:r>
          </w:p>
          <w:p>
            <w:pPr>
              <w:spacing w:after="20" w:line="240" w:lineRule="auto"/>
            </w:pPr>
            <w:r>
              <w:rPr>
                <w:rFonts w:ascii="Calibri" w:hAnsi="Calibri" w:eastAsia="Calibri"/>
                <w:b/>
                <w:sz w:val="16"/>
              </w:rPr>
              <w:t xml:space="preserve">Expected outcome: </w:t>
            </w:r>
            <w:r>
              <w:rPr>
                <w:rFonts w:ascii="Calibri" w:hAnsi="Calibri" w:eastAsia="Calibri"/>
                <w:b w:val="0"/>
                <w:sz w:val="16"/>
              </w:rPr>
              <w:t>The intake workflow presents the correct questions, persists structured answers and field states, and performs the required canonical handoff without redundant or uncontrolled behavior.</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expected session/question/answer state transition occurs, required QuestionTemplate records are persisted, already confirmed fields are not redundantly requested unless the test requires it, and any required canonical update is correctly linked.</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TC-FR-INT-03</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FR-INT-03</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Structured Interview Intake Service</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InterviewAnswer</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Integration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Interview questions shall map to fields, field groups, or validation states within the canonical input schema.</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Structured intake session fixture with complete, missing, ambiguous, conflicting, and corrected responses.</w:t>
            </w:r>
          </w:p>
          <w:p>
            <w:pPr>
              <w:spacing w:after="20" w:line="240" w:lineRule="auto"/>
            </w:pPr>
            <w:r>
              <w:rPr>
                <w:rFonts w:ascii="Calibri" w:hAnsi="Calibri" w:eastAsia="Calibri"/>
                <w:b/>
                <w:sz w:val="16"/>
              </w:rPr>
              <w:t xml:space="preserve">Procedure: </w:t>
            </w:r>
            <w:r>
              <w:rPr>
                <w:rFonts w:ascii="Calibri" w:hAnsi="Calibri" w:eastAsia="Calibri"/>
                <w:b w:val="0"/>
                <w:sz w:val="16"/>
              </w:rPr>
              <w:t>Start or resume a structured intake session, apply the controlled response fixture, and validate field mapping. Inspect question presentation, field-state transitions, structured answer persistence, and any canonical-state handoff triggered by the workflow.</w:t>
            </w:r>
          </w:p>
          <w:p>
            <w:pPr>
              <w:spacing w:after="20" w:line="240" w:lineRule="auto"/>
            </w:pPr>
            <w:r>
              <w:rPr>
                <w:rFonts w:ascii="Calibri" w:hAnsi="Calibri" w:eastAsia="Calibri"/>
                <w:b/>
                <w:sz w:val="16"/>
              </w:rPr>
              <w:t xml:space="preserve">Expected outcome: </w:t>
            </w:r>
            <w:r>
              <w:rPr>
                <w:rFonts w:ascii="Calibri" w:hAnsi="Calibri" w:eastAsia="Calibri"/>
                <w:b w:val="0"/>
                <w:sz w:val="16"/>
              </w:rPr>
              <w:t>The intake workflow presents the correct questions, persists structured answers and field states, and performs the required canonical handoff without redundant or uncontrolled behavior.</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expected session/question/answer state transition occurs, required InterviewAnswer records are persisted, already confirmed fields are not redundantly requested unless the test requires it, and any required canonical update is correctly linked.</w:t>
            </w:r>
          </w:p>
        </w:tc>
      </w:tr>
      <w:tr>
        <w:trPr>
          <w:cantSplit/>
        </w:trPr>
        <w:tc>
          <w:tcPr>
            <w:tcW w:type="dxa" w:w="1152"/>
            <w:vAlign w:val="center"/>
            <w:tcMar>
              <w:top w:w="80" w:type="dxa"/>
              <w:start w:w="85" w:type="dxa"/>
              <w:bottom w:w="80" w:type="dxa"/>
              <w:end w:w="85" w:type="dxa"/>
            </w:tcMar>
            <w:shd w:fill="F7FBFF"/>
          </w:tcPr>
          <w:p>
            <w:pPr>
              <w:spacing w:after="40" w:line="240" w:lineRule="auto"/>
            </w:pPr>
            <w:r>
              <w:rPr>
                <w:rFonts w:ascii="Calibri" w:hAnsi="Calibri" w:eastAsia="Calibri"/>
                <w:b/>
                <w:sz w:val="16"/>
              </w:rPr>
              <w:t>TC-FR-INT-04</w:t>
            </w:r>
          </w:p>
        </w:tc>
        <w:tc>
          <w:tcPr>
            <w:tcW w:type="dxa" w:w="1339"/>
            <w:vAlign w:val="center"/>
            <w:tcMar>
              <w:top w:w="80" w:type="dxa"/>
              <w:start w:w="85" w:type="dxa"/>
              <w:bottom w:w="80" w:type="dxa"/>
              <w:end w:w="85" w:type="dxa"/>
            </w:tcMar>
            <w:shd w:fill="F7FBFF"/>
          </w:tcPr>
          <w:p>
            <w:pPr>
              <w:spacing w:after="40" w:line="240" w:lineRule="auto"/>
            </w:pPr>
            <w:r>
              <w:rPr>
                <w:rFonts w:ascii="Calibri" w:hAnsi="Calibri" w:eastAsia="Calibri"/>
                <w:b/>
                <w:sz w:val="16"/>
              </w:rPr>
              <w:t>FR-INT-04</w:t>
            </w:r>
          </w:p>
        </w:tc>
        <w:tc>
          <w:tcPr>
            <w:tcW w:type="dxa" w:w="2477"/>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Normalization and Deterministic Validation Service</w:t>
            </w:r>
          </w:p>
        </w:tc>
        <w:tc>
          <w:tcPr>
            <w:tcW w:type="dxa" w:w="2189"/>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IntakeFieldState</w:t>
            </w:r>
          </w:p>
        </w:tc>
        <w:tc>
          <w:tcPr>
            <w:tcW w:type="dxa" w:w="138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Unit Test</w:t>
            </w:r>
          </w:p>
        </w:tc>
        <w:tc>
          <w:tcPr>
            <w:tcW w:type="dxa" w:w="367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The system shall validate interview responses against schema rules, expected value types, ranges, units, and dependency constraints.</w:t>
            </w:r>
          </w:p>
        </w:tc>
        <w:tc>
          <w:tcPr>
            <w:tcW w:type="dxa" w:w="4104"/>
            <w:vAlign w:val="center"/>
            <w:tcMar>
              <w:top w:w="80" w:type="dxa"/>
              <w:start w:w="85" w:type="dxa"/>
              <w:bottom w:w="80" w:type="dxa"/>
              <w:end w:w="85" w:type="dxa"/>
            </w:tcMar>
            <w:shd w:fill="F7FBFF"/>
            <w:shd w:fill="F7FBFF"/>
          </w:tcPr>
          <w:p>
            <w:pPr>
              <w:spacing w:after="20" w:line="240" w:lineRule="auto"/>
            </w:pPr>
            <w:r/>
            <w:r>
              <w:rPr>
                <w:rFonts w:ascii="Calibri" w:hAnsi="Calibri" w:eastAsia="Calibri"/>
                <w:b/>
                <w:sz w:val="16"/>
              </w:rPr>
              <w:t xml:space="preserve">Test data: </w:t>
            </w:r>
            <w:r>
              <w:rPr>
                <w:rFonts w:ascii="Calibri" w:hAnsi="Calibri" w:eastAsia="Calibri"/>
                <w:b w:val="0"/>
                <w:sz w:val="16"/>
              </w:rPr>
              <w:t>Structured intake session fixture with complete, missing, ambiguous, conflicting, and corrected responses.</w:t>
            </w:r>
          </w:p>
          <w:p>
            <w:pPr>
              <w:spacing w:after="20" w:line="240" w:lineRule="auto"/>
            </w:pPr>
            <w:r>
              <w:rPr>
                <w:rFonts w:ascii="Calibri" w:hAnsi="Calibri" w:eastAsia="Calibri"/>
                <w:b/>
                <w:sz w:val="16"/>
              </w:rPr>
              <w:t xml:space="preserve">Procedure: </w:t>
            </w:r>
            <w:r>
              <w:rPr>
                <w:rFonts w:ascii="Calibri" w:hAnsi="Calibri" w:eastAsia="Calibri"/>
                <w:b w:val="0"/>
                <w:sz w:val="16"/>
              </w:rPr>
              <w:t>Start or resume a structured intake session, apply the controlled response fixture, and validate schema and range constraints. Inspect question presentation, field-state transitions, structured answer persistence, and any canonical-state handoff triggered by the workflow.</w:t>
            </w:r>
          </w:p>
          <w:p>
            <w:pPr>
              <w:spacing w:after="20" w:line="240" w:lineRule="auto"/>
            </w:pPr>
            <w:r>
              <w:rPr>
                <w:rFonts w:ascii="Calibri" w:hAnsi="Calibri" w:eastAsia="Calibri"/>
                <w:b/>
                <w:sz w:val="16"/>
              </w:rPr>
              <w:t xml:space="preserve">Expected outcome: </w:t>
            </w:r>
            <w:r>
              <w:rPr>
                <w:rFonts w:ascii="Calibri" w:hAnsi="Calibri" w:eastAsia="Calibri"/>
                <w:b w:val="0"/>
                <w:sz w:val="16"/>
              </w:rPr>
              <w:t>The intake workflow presents the correct questions, persists structured answers and field states, and performs the required canonical handoff without redundant or uncontrolled behavior.</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expected session/question/answer state transition occurs, required IntakeFieldState records are persisted, already confirmed fields are not redundantly requested unless the test requires it, and any required canonical update is correctly linked.</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TC-FR-INT-05</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FR-INT-05</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LLM Assistance Control Layer</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InterviewTurn</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When a response is non-conforming, ambiguous, incomplete, or contradictory, the system shall generate targeted clarification or follow-up prompts.</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Structured intake session fixture with complete, missing, ambiguous, conflicting, and corrected responses.</w:t>
            </w:r>
          </w:p>
          <w:p>
            <w:pPr>
              <w:spacing w:after="20" w:line="240" w:lineRule="auto"/>
            </w:pPr>
            <w:r>
              <w:rPr>
                <w:rFonts w:ascii="Calibri" w:hAnsi="Calibri" w:eastAsia="Calibri"/>
                <w:b/>
                <w:sz w:val="16"/>
              </w:rPr>
              <w:t xml:space="preserve">Procedure: </w:t>
            </w:r>
            <w:r>
              <w:rPr>
                <w:rFonts w:ascii="Calibri" w:hAnsi="Calibri" w:eastAsia="Calibri"/>
                <w:b w:val="0"/>
                <w:sz w:val="16"/>
              </w:rPr>
              <w:t>Start or resume a structured intake session, apply the controlled response fixture, and verify clarification prompts for invalid responses. Inspect question presentation, field-state transitions, structured answer persistence, and any canonical-state handoff triggered by the workflow.</w:t>
            </w:r>
          </w:p>
          <w:p>
            <w:pPr>
              <w:spacing w:after="20" w:line="240" w:lineRule="auto"/>
            </w:pPr>
            <w:r>
              <w:rPr>
                <w:rFonts w:ascii="Calibri" w:hAnsi="Calibri" w:eastAsia="Calibri"/>
                <w:b/>
                <w:sz w:val="16"/>
              </w:rPr>
              <w:t xml:space="preserve">Expected outcome: </w:t>
            </w:r>
            <w:r>
              <w:rPr>
                <w:rFonts w:ascii="Calibri" w:hAnsi="Calibri" w:eastAsia="Calibri"/>
                <w:b w:val="0"/>
                <w:sz w:val="16"/>
              </w:rPr>
              <w:t>The intake workflow presents the correct questions, persists structured answers and field states, and performs the required canonical handoff without redundant or uncontrolled behavior.</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expected session/question/answer state transition occurs, required InterviewTurn records are persisted, already confirmed fields are not redundantly requested unless the test requires it, and any required canonical update is correctly linked.</w:t>
            </w:r>
          </w:p>
        </w:tc>
      </w:tr>
      <w:tr>
        <w:trPr>
          <w:cantSplit/>
        </w:trPr>
        <w:tc>
          <w:tcPr>
            <w:tcW w:type="dxa" w:w="1152"/>
            <w:vAlign w:val="center"/>
            <w:tcMar>
              <w:top w:w="80" w:type="dxa"/>
              <w:start w:w="85" w:type="dxa"/>
              <w:bottom w:w="80" w:type="dxa"/>
              <w:end w:w="85" w:type="dxa"/>
            </w:tcMar>
            <w:shd w:fill="F7FBFF"/>
          </w:tcPr>
          <w:p>
            <w:pPr>
              <w:spacing w:after="40" w:line="240" w:lineRule="auto"/>
            </w:pPr>
            <w:r>
              <w:rPr>
                <w:rFonts w:ascii="Calibri" w:hAnsi="Calibri" w:eastAsia="Calibri"/>
                <w:b/>
                <w:sz w:val="16"/>
              </w:rPr>
              <w:t>TC-FR-INT-06</w:t>
            </w:r>
          </w:p>
        </w:tc>
        <w:tc>
          <w:tcPr>
            <w:tcW w:type="dxa" w:w="1339"/>
            <w:vAlign w:val="center"/>
            <w:tcMar>
              <w:top w:w="80" w:type="dxa"/>
              <w:start w:w="85" w:type="dxa"/>
              <w:bottom w:w="80" w:type="dxa"/>
              <w:end w:w="85" w:type="dxa"/>
            </w:tcMar>
            <w:shd w:fill="F7FBFF"/>
          </w:tcPr>
          <w:p>
            <w:pPr>
              <w:spacing w:after="40" w:line="240" w:lineRule="auto"/>
            </w:pPr>
            <w:r>
              <w:rPr>
                <w:rFonts w:ascii="Calibri" w:hAnsi="Calibri" w:eastAsia="Calibri"/>
                <w:b/>
                <w:sz w:val="16"/>
              </w:rPr>
              <w:t>FR-INT-06</w:t>
            </w:r>
          </w:p>
        </w:tc>
        <w:tc>
          <w:tcPr>
            <w:tcW w:type="dxa" w:w="2477"/>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Structured Interview Intake Service</w:t>
            </w:r>
          </w:p>
        </w:tc>
        <w:tc>
          <w:tcPr>
            <w:tcW w:type="dxa" w:w="2189"/>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IntakeFieldState</w:t>
            </w:r>
          </w:p>
        </w:tc>
        <w:tc>
          <w:tcPr>
            <w:tcW w:type="dxa" w:w="138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The system shall avoid repeatedly asking for information that is already confirmed by canonical-state data unless a conflict or change requires reconfirmation.</w:t>
            </w:r>
          </w:p>
        </w:tc>
        <w:tc>
          <w:tcPr>
            <w:tcW w:type="dxa" w:w="4104"/>
            <w:vAlign w:val="center"/>
            <w:tcMar>
              <w:top w:w="80" w:type="dxa"/>
              <w:start w:w="85" w:type="dxa"/>
              <w:bottom w:w="80" w:type="dxa"/>
              <w:end w:w="85" w:type="dxa"/>
            </w:tcMar>
            <w:shd w:fill="F7FBFF"/>
            <w:shd w:fill="F7FBFF"/>
          </w:tcPr>
          <w:p>
            <w:pPr>
              <w:spacing w:after="20" w:line="240" w:lineRule="auto"/>
            </w:pPr>
            <w:r/>
            <w:r>
              <w:rPr>
                <w:rFonts w:ascii="Calibri" w:hAnsi="Calibri" w:eastAsia="Calibri"/>
                <w:b/>
                <w:sz w:val="16"/>
              </w:rPr>
              <w:t xml:space="preserve">Test data: </w:t>
            </w:r>
            <w:r>
              <w:rPr>
                <w:rFonts w:ascii="Calibri" w:hAnsi="Calibri" w:eastAsia="Calibri"/>
                <w:b w:val="0"/>
                <w:sz w:val="16"/>
              </w:rPr>
              <w:t>Structured intake session fixture with complete, missing, ambiguous, conflicting, and corrected responses.</w:t>
            </w:r>
          </w:p>
          <w:p>
            <w:pPr>
              <w:spacing w:after="20" w:line="240" w:lineRule="auto"/>
            </w:pPr>
            <w:r>
              <w:rPr>
                <w:rFonts w:ascii="Calibri" w:hAnsi="Calibri" w:eastAsia="Calibri"/>
                <w:b/>
                <w:sz w:val="16"/>
              </w:rPr>
              <w:t xml:space="preserve">Procedure: </w:t>
            </w:r>
            <w:r>
              <w:rPr>
                <w:rFonts w:ascii="Calibri" w:hAnsi="Calibri" w:eastAsia="Calibri"/>
                <w:b w:val="0"/>
                <w:sz w:val="16"/>
              </w:rPr>
              <w:t>Start or resume a structured intake session, apply the controlled response fixture, and verify confirmed fields are skipped. Inspect question presentation, field-state transitions, structured answer persistence, and any canonical-state handoff triggered by the workflow.</w:t>
            </w:r>
          </w:p>
          <w:p>
            <w:pPr>
              <w:spacing w:after="20" w:line="240" w:lineRule="auto"/>
            </w:pPr>
            <w:r>
              <w:rPr>
                <w:rFonts w:ascii="Calibri" w:hAnsi="Calibri" w:eastAsia="Calibri"/>
                <w:b/>
                <w:sz w:val="16"/>
              </w:rPr>
              <w:t xml:space="preserve">Expected outcome: </w:t>
            </w:r>
            <w:r>
              <w:rPr>
                <w:rFonts w:ascii="Calibri" w:hAnsi="Calibri" w:eastAsia="Calibri"/>
                <w:b w:val="0"/>
                <w:sz w:val="16"/>
              </w:rPr>
              <w:t>The intake workflow presents the correct questions, persists structured answers and field states, and performs the required canonical handoff without redundant or uncontrolled behavior.</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expected session/question/answer state transition occurs, required IntakeFieldState records are persisted, already confirmed fields are not redundantly requested unless the test requires it, and any required canonical update is correctly linked.</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TC-FR-INT-07</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FR-INT-07</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Structured Interview Intake Service</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InterviewAnswer</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Integration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The system shall store interview responses as structured project data with field-level provenance, timestamps, and run linkage.</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Structured intake session fixture with complete, missing, ambiguous, conflicting, and corrected responses.</w:t>
            </w:r>
          </w:p>
          <w:p>
            <w:pPr>
              <w:spacing w:after="20" w:line="240" w:lineRule="auto"/>
            </w:pPr>
            <w:r>
              <w:rPr>
                <w:rFonts w:ascii="Calibri" w:hAnsi="Calibri" w:eastAsia="Calibri"/>
                <w:b/>
                <w:sz w:val="16"/>
              </w:rPr>
              <w:t xml:space="preserve">Procedure: </w:t>
            </w:r>
            <w:r>
              <w:rPr>
                <w:rFonts w:ascii="Calibri" w:hAnsi="Calibri" w:eastAsia="Calibri"/>
                <w:b w:val="0"/>
                <w:sz w:val="16"/>
              </w:rPr>
              <w:t>Start or resume a structured intake session, apply the controlled response fixture, and verify persistence. Inspect question presentation, field-state transitions, structured answer persistence, and any canonical-state handoff triggered by the workflow.</w:t>
            </w:r>
          </w:p>
          <w:p>
            <w:pPr>
              <w:spacing w:after="20" w:line="240" w:lineRule="auto"/>
            </w:pPr>
            <w:r>
              <w:rPr>
                <w:rFonts w:ascii="Calibri" w:hAnsi="Calibri" w:eastAsia="Calibri"/>
                <w:b/>
                <w:sz w:val="16"/>
              </w:rPr>
              <w:t xml:space="preserve">Expected outcome: </w:t>
            </w:r>
            <w:r>
              <w:rPr>
                <w:rFonts w:ascii="Calibri" w:hAnsi="Calibri" w:eastAsia="Calibri"/>
                <w:b w:val="0"/>
                <w:sz w:val="16"/>
              </w:rPr>
              <w:t>The intake workflow presents the correct questions, persists structured answers and field states, and performs the required canonical handoff without redundant or uncontrolled behavior.</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expected session/question/answer state transition occurs, required InterviewAnswer records are persisted, already confirmed fields are not redundantly requested unless the test requires it, and any required canonical update is correctly linked.</w:t>
            </w:r>
          </w:p>
        </w:tc>
      </w:tr>
      <w:tr>
        <w:trPr>
          <w:cantSplit/>
        </w:trPr>
        <w:tc>
          <w:tcPr>
            <w:tcW w:type="dxa" w:w="1152"/>
            <w:vAlign w:val="center"/>
            <w:tcMar>
              <w:top w:w="80" w:type="dxa"/>
              <w:start w:w="85" w:type="dxa"/>
              <w:bottom w:w="80" w:type="dxa"/>
              <w:end w:w="85" w:type="dxa"/>
            </w:tcMar>
            <w:shd w:fill="F7FBFF"/>
          </w:tcPr>
          <w:p>
            <w:pPr>
              <w:spacing w:after="40" w:line="240" w:lineRule="auto"/>
            </w:pPr>
            <w:r>
              <w:rPr>
                <w:rFonts w:ascii="Calibri" w:hAnsi="Calibri" w:eastAsia="Calibri"/>
                <w:b/>
                <w:sz w:val="16"/>
              </w:rPr>
              <w:t>TC-FR-INT-08</w:t>
            </w:r>
          </w:p>
        </w:tc>
        <w:tc>
          <w:tcPr>
            <w:tcW w:type="dxa" w:w="1339"/>
            <w:vAlign w:val="center"/>
            <w:tcMar>
              <w:top w:w="80" w:type="dxa"/>
              <w:start w:w="85" w:type="dxa"/>
              <w:bottom w:w="80" w:type="dxa"/>
              <w:end w:w="85" w:type="dxa"/>
            </w:tcMar>
            <w:shd w:fill="F7FBFF"/>
          </w:tcPr>
          <w:p>
            <w:pPr>
              <w:spacing w:after="40" w:line="240" w:lineRule="auto"/>
            </w:pPr>
            <w:r>
              <w:rPr>
                <w:rFonts w:ascii="Calibri" w:hAnsi="Calibri" w:eastAsia="Calibri"/>
                <w:b/>
                <w:sz w:val="16"/>
              </w:rPr>
              <w:t>FR-INT-08</w:t>
            </w:r>
          </w:p>
        </w:tc>
        <w:tc>
          <w:tcPr>
            <w:tcW w:type="dxa" w:w="2477"/>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Canonical Facility State Service</w:t>
            </w:r>
          </w:p>
        </w:tc>
        <w:tc>
          <w:tcPr>
            <w:tcW w:type="dxa" w:w="2189"/>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CanonicalFacilityState</w:t>
            </w:r>
          </w:p>
        </w:tc>
        <w:tc>
          <w:tcPr>
            <w:tcW w:type="dxa" w:w="138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Integration Test</w:t>
            </w:r>
          </w:p>
        </w:tc>
        <w:tc>
          <w:tcPr>
            <w:tcW w:type="dxa" w:w="367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The system shall merge user interview responses with extracted and retrieved facts into one canonical facility state rather than maintaining a separate modeling source of truth.</w:t>
            </w:r>
          </w:p>
        </w:tc>
        <w:tc>
          <w:tcPr>
            <w:tcW w:type="dxa" w:w="4104"/>
            <w:vAlign w:val="center"/>
            <w:tcMar>
              <w:top w:w="80" w:type="dxa"/>
              <w:start w:w="85" w:type="dxa"/>
              <w:bottom w:w="80" w:type="dxa"/>
              <w:end w:w="85" w:type="dxa"/>
            </w:tcMar>
            <w:shd w:fill="F7FBFF"/>
            <w:shd w:fill="F7FBFF"/>
          </w:tcPr>
          <w:p>
            <w:pPr>
              <w:spacing w:after="20" w:line="240" w:lineRule="auto"/>
            </w:pPr>
            <w:r/>
            <w:r>
              <w:rPr>
                <w:rFonts w:ascii="Calibri" w:hAnsi="Calibri" w:eastAsia="Calibri"/>
                <w:b/>
                <w:sz w:val="16"/>
              </w:rPr>
              <w:t xml:space="preserve">Test data: </w:t>
            </w:r>
            <w:r>
              <w:rPr>
                <w:rFonts w:ascii="Calibri" w:hAnsi="Calibri" w:eastAsia="Calibri"/>
                <w:b w:val="0"/>
                <w:sz w:val="16"/>
              </w:rPr>
              <w:t>Structured intake session fixture with complete, missing, ambiguous, conflicting, and corrected responses.</w:t>
            </w:r>
          </w:p>
          <w:p>
            <w:pPr>
              <w:spacing w:after="20" w:line="240" w:lineRule="auto"/>
            </w:pPr>
            <w:r>
              <w:rPr>
                <w:rFonts w:ascii="Calibri" w:hAnsi="Calibri" w:eastAsia="Calibri"/>
                <w:b/>
                <w:sz w:val="16"/>
              </w:rPr>
              <w:t xml:space="preserve">Procedure: </w:t>
            </w:r>
            <w:r>
              <w:rPr>
                <w:rFonts w:ascii="Calibri" w:hAnsi="Calibri" w:eastAsia="Calibri"/>
                <w:b w:val="0"/>
                <w:sz w:val="16"/>
              </w:rPr>
              <w:t>Start or resume a structured intake session, apply the controlled response fixture, and verify canonical state update. Inspect question presentation, field-state transitions, structured answer persistence, and any canonical-state handoff triggered by the workflow.</w:t>
            </w:r>
          </w:p>
          <w:p>
            <w:pPr>
              <w:spacing w:after="20" w:line="240" w:lineRule="auto"/>
            </w:pPr>
            <w:r>
              <w:rPr>
                <w:rFonts w:ascii="Calibri" w:hAnsi="Calibri" w:eastAsia="Calibri"/>
                <w:b/>
                <w:sz w:val="16"/>
              </w:rPr>
              <w:t xml:space="preserve">Expected outcome: </w:t>
            </w:r>
            <w:r>
              <w:rPr>
                <w:rFonts w:ascii="Calibri" w:hAnsi="Calibri" w:eastAsia="Calibri"/>
                <w:b w:val="0"/>
                <w:sz w:val="16"/>
              </w:rPr>
              <w:t>The intake workflow presents the correct questions, persists structured answers and field states, and performs the required canonical handoff without redundant or uncontrolled behavior.</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expected session/question/answer state transition occurs, required CanonicalFacilityState records are persisted, already confirmed fields are not redundantly requested unless the test requires it, and any required canonical update is correctly linked.</w:t>
            </w:r>
          </w:p>
        </w:tc>
      </w:tr>
    </w:tbl>
    <w:p>
      <w:pPr>
        <w:spacing w:after="80"/>
      </w:pPr>
    </w:p>
    <w:p>
      <w:pPr>
        <w:keepNext/>
        <w:spacing w:before="200" w:after="80"/>
      </w:pPr>
      <w:r>
        <w:rPr>
          <w:rFonts w:ascii="Aptos" w:hAnsi="Aptos" w:eastAsia="Aptos"/>
          <w:b/>
          <w:color w:val="1F4E79"/>
          <w:sz w:val="28"/>
        </w:rPr>
        <w:t>6.5 Functional Requirement Verification — Bounded LLM Co-Pilot Behavior</w:t>
      </w:r>
    </w:p>
    <w:p>
      <w:pPr>
        <w:spacing w:after="80"/>
      </w:pPr>
      <w:r>
        <w:rPr>
          <w:rFonts w:ascii="Aptos" w:hAnsi="Aptos" w:eastAsia="Aptos"/>
          <w:sz w:val="22"/>
        </w:rPr>
        <w:t>The following matrix provides requirement-level verification coverage for this requirement family.</w:t>
      </w:r>
    </w:p>
    <w:tbl>
      <w:tblPr>
        <w:tblStyle w:val="TableGrid"/>
        <w:tblW w:type="auto" w:w="0"/>
        <w:jc w:val="center"/>
        <w:tblLook w:firstColumn="1" w:firstRow="1" w:lastColumn="0" w:lastRow="0" w:noHBand="0" w:noVBand="1" w:val="04A0"/>
      </w:tblPr>
      <w:tblGrid>
        <w:gridCol w:w="2037"/>
        <w:gridCol w:w="2037"/>
        <w:gridCol w:w="2037"/>
        <w:gridCol w:w="2037"/>
        <w:gridCol w:w="2037"/>
        <w:gridCol w:w="2037"/>
        <w:gridCol w:w="2037"/>
      </w:tblGrid>
      <w:tr>
        <w:trPr>
          <w:tblHeader w:val="true"/>
        </w:trPr>
        <w:tc>
          <w:tcPr>
            <w:tcW w:type="dxa" w:w="1152"/>
            <w:vAlign w:val="center"/>
            <w:shd w:fill="1F4E78"/>
            <w:tcMar>
              <w:top w:w="90" w:type="dxa"/>
              <w:start w:w="90" w:type="dxa"/>
              <w:bottom w:w="90" w:type="dxa"/>
              <w:end w:w="90" w:type="dxa"/>
            </w:tcMar>
          </w:tcPr>
          <w:p>
            <w:pPr>
              <w:jc w:val="center"/>
            </w:pPr>
            <w:r>
              <w:rPr>
                <w:rFonts w:ascii="Calibri" w:hAnsi="Calibri" w:eastAsia="Calibri"/>
                <w:b/>
                <w:color w:val="FFFFFF"/>
                <w:sz w:val="17"/>
              </w:rPr>
              <w:t>Test Case</w:t>
            </w:r>
          </w:p>
        </w:tc>
        <w:tc>
          <w:tcPr>
            <w:tcW w:type="dxa" w:w="1339"/>
            <w:vAlign w:val="center"/>
            <w:shd w:fill="1F4E78"/>
            <w:tcMar>
              <w:top w:w="90" w:type="dxa"/>
              <w:start w:w="90" w:type="dxa"/>
              <w:bottom w:w="90" w:type="dxa"/>
              <w:end w:w="90" w:type="dxa"/>
            </w:tcMar>
          </w:tcPr>
          <w:p>
            <w:pPr>
              <w:jc w:val="center"/>
            </w:pPr>
            <w:r>
              <w:rPr>
                <w:rFonts w:ascii="Calibri" w:hAnsi="Calibri" w:eastAsia="Calibri"/>
                <w:b/>
                <w:color w:val="FFFFFF"/>
                <w:sz w:val="17"/>
              </w:rPr>
              <w:t>Requirement</w:t>
            </w:r>
          </w:p>
        </w:tc>
        <w:tc>
          <w:tcPr>
            <w:tcW w:type="dxa" w:w="2477"/>
            <w:vAlign w:val="center"/>
            <w:shd w:fill="1F4E78"/>
            <w:tcMar>
              <w:top w:w="90" w:type="dxa"/>
              <w:start w:w="90" w:type="dxa"/>
              <w:bottom w:w="90" w:type="dxa"/>
              <w:end w:w="90" w:type="dxa"/>
            </w:tcMar>
          </w:tcPr>
          <w:p>
            <w:pPr>
              <w:jc w:val="center"/>
            </w:pPr>
            <w:r>
              <w:rPr>
                <w:rFonts w:ascii="Calibri" w:hAnsi="Calibri" w:eastAsia="Calibri"/>
                <w:b/>
                <w:color w:val="FFFFFF"/>
                <w:sz w:val="17"/>
              </w:rPr>
              <w:t>Implementing Component(s)</w:t>
            </w:r>
          </w:p>
        </w:tc>
        <w:tc>
          <w:tcPr>
            <w:tcW w:type="dxa" w:w="2189"/>
            <w:vAlign w:val="center"/>
            <w:shd w:fill="1F4E78"/>
            <w:tcMar>
              <w:top w:w="90" w:type="dxa"/>
              <w:start w:w="90" w:type="dxa"/>
              <w:bottom w:w="90" w:type="dxa"/>
              <w:end w:w="90" w:type="dxa"/>
            </w:tcMar>
          </w:tcPr>
          <w:p>
            <w:pPr>
              <w:jc w:val="center"/>
            </w:pPr>
            <w:r>
              <w:rPr>
                <w:rFonts w:ascii="Calibri" w:hAnsi="Calibri" w:eastAsia="Calibri"/>
                <w:b/>
                <w:color w:val="FFFFFF"/>
                <w:sz w:val="17"/>
              </w:rPr>
              <w:t>Supporting Data Structures</w:t>
            </w:r>
          </w:p>
        </w:tc>
        <w:tc>
          <w:tcPr>
            <w:tcW w:type="dxa" w:w="1382"/>
            <w:vAlign w:val="center"/>
            <w:shd w:fill="1F4E78"/>
            <w:tcMar>
              <w:top w:w="90" w:type="dxa"/>
              <w:start w:w="90" w:type="dxa"/>
              <w:bottom w:w="90" w:type="dxa"/>
              <w:end w:w="90" w:type="dxa"/>
            </w:tcMar>
          </w:tcPr>
          <w:p>
            <w:pPr>
              <w:jc w:val="center"/>
            </w:pPr>
            <w:r>
              <w:rPr>
                <w:rFonts w:ascii="Calibri" w:hAnsi="Calibri" w:eastAsia="Calibri"/>
                <w:b/>
                <w:color w:val="FFFFFF"/>
                <w:sz w:val="17"/>
              </w:rPr>
              <w:t>Method</w:t>
            </w:r>
          </w:p>
        </w:tc>
        <w:tc>
          <w:tcPr>
            <w:tcW w:type="dxa" w:w="3672"/>
            <w:vAlign w:val="center"/>
            <w:shd w:fill="1F4E78"/>
            <w:tcMar>
              <w:top w:w="90" w:type="dxa"/>
              <w:start w:w="90" w:type="dxa"/>
              <w:bottom w:w="90" w:type="dxa"/>
              <w:end w:w="90" w:type="dxa"/>
            </w:tcMar>
          </w:tcPr>
          <w:p>
            <w:pPr>
              <w:jc w:val="center"/>
            </w:pPr>
            <w:r>
              <w:rPr>
                <w:rFonts w:ascii="Calibri" w:hAnsi="Calibri" w:eastAsia="Calibri"/>
                <w:b/>
                <w:color w:val="FFFFFF"/>
                <w:sz w:val="17"/>
              </w:rPr>
              <w:t>Requirement Statement</w:t>
            </w:r>
          </w:p>
        </w:tc>
        <w:tc>
          <w:tcPr>
            <w:tcW w:type="dxa" w:w="4104"/>
            <w:vAlign w:val="center"/>
            <w:shd w:fill="1F4E78"/>
            <w:tcMar>
              <w:top w:w="90" w:type="dxa"/>
              <w:start w:w="90" w:type="dxa"/>
              <w:bottom w:w="90" w:type="dxa"/>
              <w:end w:w="90" w:type="dxa"/>
            </w:tcMar>
          </w:tcPr>
          <w:p>
            <w:pPr>
              <w:jc w:val="center"/>
            </w:pPr>
            <w:r>
              <w:rPr>
                <w:rFonts w:ascii="Calibri" w:hAnsi="Calibri" w:eastAsia="Calibri"/>
                <w:b/>
                <w:color w:val="FFFFFF"/>
                <w:sz w:val="17"/>
              </w:rPr>
              <w:t>Verification Detail</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TC-FR-AI-01</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FR-AI-01</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LLM Assistance Control Layer</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PromptGovernanceRecord</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The system shall permit LLM assistance for OCR interpretation of ambiguous scanned content, explanation of intake questions, constrained follow-up generation, and interpretation of non-conforming user answers.</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Bounded LLM use-case fixture covering OCR interpretation, question explanation, clarification generation, and answer interpretation.</w:t>
            </w:r>
          </w:p>
          <w:p>
            <w:pPr>
              <w:spacing w:after="20" w:line="240" w:lineRule="auto"/>
            </w:pPr>
            <w:r>
              <w:rPr>
                <w:rFonts w:ascii="Calibri" w:hAnsi="Calibri" w:eastAsia="Calibri"/>
                <w:b/>
                <w:sz w:val="16"/>
              </w:rPr>
              <w:t xml:space="preserve">Procedure: </w:t>
            </w:r>
            <w:r>
              <w:rPr>
                <w:rFonts w:ascii="Calibri" w:hAnsi="Calibri" w:eastAsia="Calibri"/>
                <w:b w:val="0"/>
                <w:sz w:val="16"/>
              </w:rPr>
              <w:t>Invoke the bounded LLM use case permitted for this requirement, route the result through deterministic validation, and verify controlled ai assistance usage. Inspect governance records, accepted structured outputs, and review flags generated when evidence is insufficient.</w:t>
            </w:r>
          </w:p>
          <w:p>
            <w:pPr>
              <w:spacing w:after="20" w:line="240" w:lineRule="auto"/>
            </w:pPr>
            <w:r>
              <w:rPr>
                <w:rFonts w:ascii="Calibri" w:hAnsi="Calibri" w:eastAsia="Calibri"/>
                <w:b/>
                <w:sz w:val="16"/>
              </w:rPr>
              <w:t xml:space="preserve">Expected outcome: </w:t>
            </w:r>
            <w:r>
              <w:rPr>
                <w:rFonts w:ascii="Calibri" w:hAnsi="Calibri" w:eastAsia="Calibri"/>
                <w:b w:val="0"/>
                <w:sz w:val="16"/>
              </w:rPr>
              <w:t>Only the bounded AI behavior permitted by the SRS occurs, governance records are created, and no AI-assisted output becomes authoritative without deterministic validation.</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only the permitted AI use case is exercised, required PromptGovernanceRecord or review records are captured with run linkage, and no AI-assisted output bypasses deterministic validation or conflict handling.</w:t>
            </w:r>
          </w:p>
        </w:tc>
      </w:tr>
      <w:tr>
        <w:trPr>
          <w:cantSplit/>
        </w:trPr>
        <w:tc>
          <w:tcPr>
            <w:tcW w:type="dxa" w:w="1152"/>
            <w:vAlign w:val="center"/>
            <w:tcMar>
              <w:top w:w="80" w:type="dxa"/>
              <w:start w:w="85" w:type="dxa"/>
              <w:bottom w:w="80" w:type="dxa"/>
              <w:end w:w="85" w:type="dxa"/>
            </w:tcMar>
            <w:shd w:fill="F7FBFF"/>
          </w:tcPr>
          <w:p>
            <w:pPr>
              <w:spacing w:after="40" w:line="240" w:lineRule="auto"/>
            </w:pPr>
            <w:r>
              <w:rPr>
                <w:rFonts w:ascii="Calibri" w:hAnsi="Calibri" w:eastAsia="Calibri"/>
                <w:b/>
                <w:sz w:val="16"/>
              </w:rPr>
              <w:t>TC-FR-AI-02</w:t>
            </w:r>
          </w:p>
        </w:tc>
        <w:tc>
          <w:tcPr>
            <w:tcW w:type="dxa" w:w="1339"/>
            <w:vAlign w:val="center"/>
            <w:tcMar>
              <w:top w:w="80" w:type="dxa"/>
              <w:start w:w="85" w:type="dxa"/>
              <w:bottom w:w="80" w:type="dxa"/>
              <w:end w:w="85" w:type="dxa"/>
            </w:tcMar>
            <w:shd w:fill="F7FBFF"/>
          </w:tcPr>
          <w:p>
            <w:pPr>
              <w:spacing w:after="40" w:line="240" w:lineRule="auto"/>
            </w:pPr>
            <w:r>
              <w:rPr>
                <w:rFonts w:ascii="Calibri" w:hAnsi="Calibri" w:eastAsia="Calibri"/>
                <w:b/>
                <w:sz w:val="16"/>
              </w:rPr>
              <w:t>FR-AI-02</w:t>
            </w:r>
          </w:p>
        </w:tc>
        <w:tc>
          <w:tcPr>
            <w:tcW w:type="dxa" w:w="2477"/>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Normalization and Deterministic Validation Service</w:t>
            </w:r>
          </w:p>
        </w:tc>
        <w:tc>
          <w:tcPr>
            <w:tcW w:type="dxa" w:w="2189"/>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CanonicalFieldRecord</w:t>
            </w:r>
          </w:p>
        </w:tc>
        <w:tc>
          <w:tcPr>
            <w:tcW w:type="dxa" w:w="138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The system shall restrict LLM assistance from becoming the authoritative source of engineering fact unless the result is validated and persisted as structured canonical data.</w:t>
            </w:r>
          </w:p>
        </w:tc>
        <w:tc>
          <w:tcPr>
            <w:tcW w:type="dxa" w:w="4104"/>
            <w:vAlign w:val="center"/>
            <w:tcMar>
              <w:top w:w="80" w:type="dxa"/>
              <w:start w:w="85" w:type="dxa"/>
              <w:bottom w:w="80" w:type="dxa"/>
              <w:end w:w="85" w:type="dxa"/>
            </w:tcMar>
            <w:shd w:fill="F7FBFF"/>
            <w:shd w:fill="F7FBFF"/>
          </w:tcPr>
          <w:p>
            <w:pPr>
              <w:spacing w:after="20" w:line="240" w:lineRule="auto"/>
            </w:pPr>
            <w:r/>
            <w:r>
              <w:rPr>
                <w:rFonts w:ascii="Calibri" w:hAnsi="Calibri" w:eastAsia="Calibri"/>
                <w:b/>
                <w:sz w:val="16"/>
              </w:rPr>
              <w:t xml:space="preserve">Test data: </w:t>
            </w:r>
            <w:r>
              <w:rPr>
                <w:rFonts w:ascii="Calibri" w:hAnsi="Calibri" w:eastAsia="Calibri"/>
                <w:b w:val="0"/>
                <w:sz w:val="16"/>
              </w:rPr>
              <w:t>Bounded LLM use-case fixture covering OCR interpretation, question explanation, clarification generation, and answer interpretation.</w:t>
            </w:r>
          </w:p>
          <w:p>
            <w:pPr>
              <w:spacing w:after="20" w:line="240" w:lineRule="auto"/>
            </w:pPr>
            <w:r>
              <w:rPr>
                <w:rFonts w:ascii="Calibri" w:hAnsi="Calibri" w:eastAsia="Calibri"/>
                <w:b/>
                <w:sz w:val="16"/>
              </w:rPr>
              <w:t xml:space="preserve">Procedure: </w:t>
            </w:r>
            <w:r>
              <w:rPr>
                <w:rFonts w:ascii="Calibri" w:hAnsi="Calibri" w:eastAsia="Calibri"/>
                <w:b w:val="0"/>
                <w:sz w:val="16"/>
              </w:rPr>
              <w:t>Invoke the bounded LLM use case permitted for this requirement, route the result through deterministic validation, and ensure ai output must pass validation. Inspect governance records, accepted structured outputs, and review flags generated when evidence is insufficient.</w:t>
            </w:r>
          </w:p>
          <w:p>
            <w:pPr>
              <w:spacing w:after="20" w:line="240" w:lineRule="auto"/>
            </w:pPr>
            <w:r>
              <w:rPr>
                <w:rFonts w:ascii="Calibri" w:hAnsi="Calibri" w:eastAsia="Calibri"/>
                <w:b/>
                <w:sz w:val="16"/>
              </w:rPr>
              <w:t xml:space="preserve">Expected outcome: </w:t>
            </w:r>
            <w:r>
              <w:rPr>
                <w:rFonts w:ascii="Calibri" w:hAnsi="Calibri" w:eastAsia="Calibri"/>
                <w:b w:val="0"/>
                <w:sz w:val="16"/>
              </w:rPr>
              <w:t>Only the bounded AI behavior permitted by the SRS occurs, governance records are created, and no AI-assisted output becomes authoritative without deterministic validation.</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only the permitted AI use case is exercised, required CanonicalFieldRecord or review records are captured with run linkage, and no AI-assisted output bypasses deterministic validation or conflict handling.</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TC-FR-AI-03</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FR-AI-03</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Translation Service</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ProvenanceRecord</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The system shall require parameter generation to cite evidence passages, deterministic rules, or explicit assumptions rather than relying on uncited generative output.</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Bounded LLM use-case fixture covering OCR interpretation, question explanation, clarification generation, and answer interpretation.</w:t>
            </w:r>
          </w:p>
          <w:p>
            <w:pPr>
              <w:spacing w:after="20" w:line="240" w:lineRule="auto"/>
            </w:pPr>
            <w:r>
              <w:rPr>
                <w:rFonts w:ascii="Calibri" w:hAnsi="Calibri" w:eastAsia="Calibri"/>
                <w:b/>
                <w:sz w:val="16"/>
              </w:rPr>
              <w:t xml:space="preserve">Procedure: </w:t>
            </w:r>
            <w:r>
              <w:rPr>
                <w:rFonts w:ascii="Calibri" w:hAnsi="Calibri" w:eastAsia="Calibri"/>
                <w:b w:val="0"/>
                <w:sz w:val="16"/>
              </w:rPr>
              <w:t>Invoke the bounded LLM use case permitted for this requirement, route the result through deterministic validation, and verify evidence reference requirement. Inspect governance records, accepted structured outputs, and review flags generated when evidence is insufficient.</w:t>
            </w:r>
          </w:p>
          <w:p>
            <w:pPr>
              <w:spacing w:after="20" w:line="240" w:lineRule="auto"/>
            </w:pPr>
            <w:r>
              <w:rPr>
                <w:rFonts w:ascii="Calibri" w:hAnsi="Calibri" w:eastAsia="Calibri"/>
                <w:b/>
                <w:sz w:val="16"/>
              </w:rPr>
              <w:t xml:space="preserve">Expected outcome: </w:t>
            </w:r>
            <w:r>
              <w:rPr>
                <w:rFonts w:ascii="Calibri" w:hAnsi="Calibri" w:eastAsia="Calibri"/>
                <w:b w:val="0"/>
                <w:sz w:val="16"/>
              </w:rPr>
              <w:t>Only the bounded AI behavior permitted by the SRS occurs, governance records are created, and no AI-assisted output becomes authoritative without deterministic validation.</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only the permitted AI use case is exercised, required ProvenanceRecord or review records are captured with run linkage, and no AI-assisted output bypasses deterministic validation or conflict handling.</w:t>
            </w:r>
          </w:p>
        </w:tc>
      </w:tr>
      <w:tr>
        <w:trPr>
          <w:cantSplit/>
        </w:trPr>
        <w:tc>
          <w:tcPr>
            <w:tcW w:type="dxa" w:w="1152"/>
            <w:vAlign w:val="center"/>
            <w:tcMar>
              <w:top w:w="80" w:type="dxa"/>
              <w:start w:w="85" w:type="dxa"/>
              <w:bottom w:w="80" w:type="dxa"/>
              <w:end w:w="85" w:type="dxa"/>
            </w:tcMar>
            <w:shd w:fill="F7FBFF"/>
          </w:tcPr>
          <w:p>
            <w:pPr>
              <w:spacing w:after="40" w:line="240" w:lineRule="auto"/>
            </w:pPr>
            <w:r>
              <w:rPr>
                <w:rFonts w:ascii="Calibri" w:hAnsi="Calibri" w:eastAsia="Calibri"/>
                <w:b/>
                <w:sz w:val="16"/>
              </w:rPr>
              <w:t>TC-FR-AI-04</w:t>
            </w:r>
          </w:p>
        </w:tc>
        <w:tc>
          <w:tcPr>
            <w:tcW w:type="dxa" w:w="1339"/>
            <w:vAlign w:val="center"/>
            <w:tcMar>
              <w:top w:w="80" w:type="dxa"/>
              <w:start w:w="85" w:type="dxa"/>
              <w:bottom w:w="80" w:type="dxa"/>
              <w:end w:w="85" w:type="dxa"/>
            </w:tcMar>
            <w:shd w:fill="F7FBFF"/>
          </w:tcPr>
          <w:p>
            <w:pPr>
              <w:spacing w:after="40" w:line="240" w:lineRule="auto"/>
            </w:pPr>
            <w:r>
              <w:rPr>
                <w:rFonts w:ascii="Calibri" w:hAnsi="Calibri" w:eastAsia="Calibri"/>
                <w:b/>
                <w:sz w:val="16"/>
              </w:rPr>
              <w:t>FR-AI-04</w:t>
            </w:r>
          </w:p>
        </w:tc>
        <w:tc>
          <w:tcPr>
            <w:tcW w:type="dxa" w:w="2477"/>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Normalization and Deterministic Validation Service</w:t>
            </w:r>
          </w:p>
        </w:tc>
        <w:tc>
          <w:tcPr>
            <w:tcW w:type="dxa" w:w="2189"/>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ReviewFlag</w:t>
            </w:r>
          </w:p>
        </w:tc>
        <w:tc>
          <w:tcPr>
            <w:tcW w:type="dxa" w:w="138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When evidence is insufficient, the system shall produce a missing-data request, unresolved gap, or review-required conflict instead of inventing a value.</w:t>
            </w:r>
          </w:p>
        </w:tc>
        <w:tc>
          <w:tcPr>
            <w:tcW w:type="dxa" w:w="4104"/>
            <w:vAlign w:val="center"/>
            <w:tcMar>
              <w:top w:w="80" w:type="dxa"/>
              <w:start w:w="85" w:type="dxa"/>
              <w:bottom w:w="80" w:type="dxa"/>
              <w:end w:w="85" w:type="dxa"/>
            </w:tcMar>
            <w:shd w:fill="F7FBFF"/>
            <w:shd w:fill="F7FBFF"/>
          </w:tcPr>
          <w:p>
            <w:pPr>
              <w:spacing w:after="20" w:line="240" w:lineRule="auto"/>
            </w:pPr>
            <w:r/>
            <w:r>
              <w:rPr>
                <w:rFonts w:ascii="Calibri" w:hAnsi="Calibri" w:eastAsia="Calibri"/>
                <w:b/>
                <w:sz w:val="16"/>
              </w:rPr>
              <w:t xml:space="preserve">Test data: </w:t>
            </w:r>
            <w:r>
              <w:rPr>
                <w:rFonts w:ascii="Calibri" w:hAnsi="Calibri" w:eastAsia="Calibri"/>
                <w:b w:val="0"/>
                <w:sz w:val="16"/>
              </w:rPr>
              <w:t>Bounded LLM use-case fixture covering OCR interpretation, question explanation, clarification generation, and answer interpretation.</w:t>
            </w:r>
          </w:p>
          <w:p>
            <w:pPr>
              <w:spacing w:after="20" w:line="240" w:lineRule="auto"/>
            </w:pPr>
            <w:r>
              <w:rPr>
                <w:rFonts w:ascii="Calibri" w:hAnsi="Calibri" w:eastAsia="Calibri"/>
                <w:b/>
                <w:sz w:val="16"/>
              </w:rPr>
              <w:t xml:space="preserve">Procedure: </w:t>
            </w:r>
            <w:r>
              <w:rPr>
                <w:rFonts w:ascii="Calibri" w:hAnsi="Calibri" w:eastAsia="Calibri"/>
                <w:b w:val="0"/>
                <w:sz w:val="16"/>
              </w:rPr>
              <w:t>Invoke the bounded LLM use case permitted for this requirement, route the result through deterministic validation, and verify missing‑data flags generated. Inspect governance records, accepted structured outputs, and review flags generated when evidence is insufficient.</w:t>
            </w:r>
          </w:p>
          <w:p>
            <w:pPr>
              <w:spacing w:after="20" w:line="240" w:lineRule="auto"/>
            </w:pPr>
            <w:r>
              <w:rPr>
                <w:rFonts w:ascii="Calibri" w:hAnsi="Calibri" w:eastAsia="Calibri"/>
                <w:b/>
                <w:sz w:val="16"/>
              </w:rPr>
              <w:t xml:space="preserve">Expected outcome: </w:t>
            </w:r>
            <w:r>
              <w:rPr>
                <w:rFonts w:ascii="Calibri" w:hAnsi="Calibri" w:eastAsia="Calibri"/>
                <w:b w:val="0"/>
                <w:sz w:val="16"/>
              </w:rPr>
              <w:t>Only the bounded AI behavior permitted by the SRS occurs, governance records are created, and no AI-assisted output becomes authoritative without deterministic validation.</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only the permitted AI use case is exercised, required ReviewFlag or review records are captured with run linkage, and no AI-assisted output bypasses deterministic validation or conflict handling.</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TC-FR-AI-05</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FR-AI-05</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LLM Assistance Control Layer</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PromptGovernanceRecord</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Audit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The system shall record prompt-governance and run-governance metadata sufficient to audit how LLM-assisted outputs were produced.</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Bounded LLM use-case fixture covering OCR interpretation, question explanation, clarification generation, and answer interpretation.</w:t>
            </w:r>
          </w:p>
          <w:p>
            <w:pPr>
              <w:spacing w:after="20" w:line="240" w:lineRule="auto"/>
            </w:pPr>
            <w:r>
              <w:rPr>
                <w:rFonts w:ascii="Calibri" w:hAnsi="Calibri" w:eastAsia="Calibri"/>
                <w:b/>
                <w:sz w:val="16"/>
              </w:rPr>
              <w:t xml:space="preserve">Procedure: </w:t>
            </w:r>
            <w:r>
              <w:rPr>
                <w:rFonts w:ascii="Calibri" w:hAnsi="Calibri" w:eastAsia="Calibri"/>
                <w:b w:val="0"/>
                <w:sz w:val="16"/>
              </w:rPr>
              <w:t>Invoke the bounded LLM use case permitted for this requirement, route the result through deterministic validation, and verify ai usage logging. Inspect governance records, accepted structured outputs, and review flags generated when evidence is insufficient.</w:t>
            </w:r>
          </w:p>
          <w:p>
            <w:pPr>
              <w:spacing w:after="20" w:line="240" w:lineRule="auto"/>
            </w:pPr>
            <w:r>
              <w:rPr>
                <w:rFonts w:ascii="Calibri" w:hAnsi="Calibri" w:eastAsia="Calibri"/>
                <w:b/>
                <w:sz w:val="16"/>
              </w:rPr>
              <w:t xml:space="preserve">Expected outcome: </w:t>
            </w:r>
            <w:r>
              <w:rPr>
                <w:rFonts w:ascii="Calibri" w:hAnsi="Calibri" w:eastAsia="Calibri"/>
                <w:b w:val="0"/>
                <w:sz w:val="16"/>
              </w:rPr>
              <w:t>Only the bounded AI behavior permitted by the SRS occurs, governance records are created, and no AI-assisted output becomes authoritative without deterministic validation.</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only the permitted AI use case is exercised, required PromptGovernanceRecord or review records are captured with run linkage, and no AI-assisted output bypasses deterministic validation or conflict handling.</w:t>
            </w:r>
          </w:p>
        </w:tc>
      </w:tr>
    </w:tbl>
    <w:p>
      <w:pPr>
        <w:spacing w:after="80"/>
      </w:pPr>
    </w:p>
    <w:p>
      <w:pPr>
        <w:keepNext/>
        <w:spacing w:before="200" w:after="80"/>
      </w:pPr>
      <w:r>
        <w:rPr>
          <w:rFonts w:ascii="Aptos" w:hAnsi="Aptos" w:eastAsia="Aptos"/>
          <w:b/>
          <w:color w:val="1F4E79"/>
          <w:sz w:val="28"/>
        </w:rPr>
        <w:t>6.6 Functional Requirement Verification — Normalization and Canonical State Management</w:t>
      </w:r>
    </w:p>
    <w:p>
      <w:pPr>
        <w:spacing w:after="80"/>
      </w:pPr>
      <w:r>
        <w:rPr>
          <w:rFonts w:ascii="Aptos" w:hAnsi="Aptos" w:eastAsia="Aptos"/>
          <w:sz w:val="22"/>
        </w:rPr>
        <w:t>The following matrix provides requirement-level verification coverage for this requirement family.</w:t>
      </w:r>
    </w:p>
    <w:tbl>
      <w:tblPr>
        <w:tblStyle w:val="TableGrid"/>
        <w:tblW w:type="auto" w:w="0"/>
        <w:jc w:val="center"/>
        <w:tblLook w:firstColumn="1" w:firstRow="1" w:lastColumn="0" w:lastRow="0" w:noHBand="0" w:noVBand="1" w:val="04A0"/>
      </w:tblPr>
      <w:tblGrid>
        <w:gridCol w:w="2037"/>
        <w:gridCol w:w="2037"/>
        <w:gridCol w:w="2037"/>
        <w:gridCol w:w="2037"/>
        <w:gridCol w:w="2037"/>
        <w:gridCol w:w="2037"/>
        <w:gridCol w:w="2037"/>
      </w:tblGrid>
      <w:tr>
        <w:trPr>
          <w:tblHeader w:val="true"/>
        </w:trPr>
        <w:tc>
          <w:tcPr>
            <w:tcW w:type="dxa" w:w="1152"/>
            <w:vAlign w:val="center"/>
            <w:shd w:fill="1F4E78"/>
            <w:tcMar>
              <w:top w:w="90" w:type="dxa"/>
              <w:start w:w="90" w:type="dxa"/>
              <w:bottom w:w="90" w:type="dxa"/>
              <w:end w:w="90" w:type="dxa"/>
            </w:tcMar>
          </w:tcPr>
          <w:p>
            <w:pPr>
              <w:jc w:val="center"/>
            </w:pPr>
            <w:r>
              <w:rPr>
                <w:rFonts w:ascii="Calibri" w:hAnsi="Calibri" w:eastAsia="Calibri"/>
                <w:b/>
                <w:color w:val="FFFFFF"/>
                <w:sz w:val="17"/>
              </w:rPr>
              <w:t>Test Case</w:t>
            </w:r>
          </w:p>
        </w:tc>
        <w:tc>
          <w:tcPr>
            <w:tcW w:type="dxa" w:w="1339"/>
            <w:vAlign w:val="center"/>
            <w:shd w:fill="1F4E78"/>
            <w:tcMar>
              <w:top w:w="90" w:type="dxa"/>
              <w:start w:w="90" w:type="dxa"/>
              <w:bottom w:w="90" w:type="dxa"/>
              <w:end w:w="90" w:type="dxa"/>
            </w:tcMar>
          </w:tcPr>
          <w:p>
            <w:pPr>
              <w:jc w:val="center"/>
            </w:pPr>
            <w:r>
              <w:rPr>
                <w:rFonts w:ascii="Calibri" w:hAnsi="Calibri" w:eastAsia="Calibri"/>
                <w:b/>
                <w:color w:val="FFFFFF"/>
                <w:sz w:val="17"/>
              </w:rPr>
              <w:t>Requirement</w:t>
            </w:r>
          </w:p>
        </w:tc>
        <w:tc>
          <w:tcPr>
            <w:tcW w:type="dxa" w:w="2477"/>
            <w:vAlign w:val="center"/>
            <w:shd w:fill="1F4E78"/>
            <w:tcMar>
              <w:top w:w="90" w:type="dxa"/>
              <w:start w:w="90" w:type="dxa"/>
              <w:bottom w:w="90" w:type="dxa"/>
              <w:end w:w="90" w:type="dxa"/>
            </w:tcMar>
          </w:tcPr>
          <w:p>
            <w:pPr>
              <w:jc w:val="center"/>
            </w:pPr>
            <w:r>
              <w:rPr>
                <w:rFonts w:ascii="Calibri" w:hAnsi="Calibri" w:eastAsia="Calibri"/>
                <w:b/>
                <w:color w:val="FFFFFF"/>
                <w:sz w:val="17"/>
              </w:rPr>
              <w:t>Implementing Component(s)</w:t>
            </w:r>
          </w:p>
        </w:tc>
        <w:tc>
          <w:tcPr>
            <w:tcW w:type="dxa" w:w="2189"/>
            <w:vAlign w:val="center"/>
            <w:shd w:fill="1F4E78"/>
            <w:tcMar>
              <w:top w:w="90" w:type="dxa"/>
              <w:start w:w="90" w:type="dxa"/>
              <w:bottom w:w="90" w:type="dxa"/>
              <w:end w:w="90" w:type="dxa"/>
            </w:tcMar>
          </w:tcPr>
          <w:p>
            <w:pPr>
              <w:jc w:val="center"/>
            </w:pPr>
            <w:r>
              <w:rPr>
                <w:rFonts w:ascii="Calibri" w:hAnsi="Calibri" w:eastAsia="Calibri"/>
                <w:b/>
                <w:color w:val="FFFFFF"/>
                <w:sz w:val="17"/>
              </w:rPr>
              <w:t>Supporting Data Structures</w:t>
            </w:r>
          </w:p>
        </w:tc>
        <w:tc>
          <w:tcPr>
            <w:tcW w:type="dxa" w:w="1382"/>
            <w:vAlign w:val="center"/>
            <w:shd w:fill="1F4E78"/>
            <w:tcMar>
              <w:top w:w="90" w:type="dxa"/>
              <w:start w:w="90" w:type="dxa"/>
              <w:bottom w:w="90" w:type="dxa"/>
              <w:end w:w="90" w:type="dxa"/>
            </w:tcMar>
          </w:tcPr>
          <w:p>
            <w:pPr>
              <w:jc w:val="center"/>
            </w:pPr>
            <w:r>
              <w:rPr>
                <w:rFonts w:ascii="Calibri" w:hAnsi="Calibri" w:eastAsia="Calibri"/>
                <w:b/>
                <w:color w:val="FFFFFF"/>
                <w:sz w:val="17"/>
              </w:rPr>
              <w:t>Method</w:t>
            </w:r>
          </w:p>
        </w:tc>
        <w:tc>
          <w:tcPr>
            <w:tcW w:type="dxa" w:w="3672"/>
            <w:vAlign w:val="center"/>
            <w:shd w:fill="1F4E78"/>
            <w:tcMar>
              <w:top w:w="90" w:type="dxa"/>
              <w:start w:w="90" w:type="dxa"/>
              <w:bottom w:w="90" w:type="dxa"/>
              <w:end w:w="90" w:type="dxa"/>
            </w:tcMar>
          </w:tcPr>
          <w:p>
            <w:pPr>
              <w:jc w:val="center"/>
            </w:pPr>
            <w:r>
              <w:rPr>
                <w:rFonts w:ascii="Calibri" w:hAnsi="Calibri" w:eastAsia="Calibri"/>
                <w:b/>
                <w:color w:val="FFFFFF"/>
                <w:sz w:val="17"/>
              </w:rPr>
              <w:t>Requirement Statement</w:t>
            </w:r>
          </w:p>
        </w:tc>
        <w:tc>
          <w:tcPr>
            <w:tcW w:type="dxa" w:w="4104"/>
            <w:vAlign w:val="center"/>
            <w:shd w:fill="1F4E78"/>
            <w:tcMar>
              <w:top w:w="90" w:type="dxa"/>
              <w:start w:w="90" w:type="dxa"/>
              <w:bottom w:w="90" w:type="dxa"/>
              <w:end w:w="90" w:type="dxa"/>
            </w:tcMar>
          </w:tcPr>
          <w:p>
            <w:pPr>
              <w:jc w:val="center"/>
            </w:pPr>
            <w:r>
              <w:rPr>
                <w:rFonts w:ascii="Calibri" w:hAnsi="Calibri" w:eastAsia="Calibri"/>
                <w:b/>
                <w:color w:val="FFFFFF"/>
                <w:sz w:val="17"/>
              </w:rPr>
              <w:t>Verification Detail</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TC-FR-NRM-01</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FR-NRM-01</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Normalization and Deterministic Validation Service</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CanonicalFieldRecord</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Unit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The system shall normalize extracted inputs and structured interview responses into a unified internal schema aligned to GridSenpAI_inputs_schema.json.</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Extracted candidates, interview answers, provenance records, and conflicting values prepared for deterministic validation and merge.</w:t>
            </w:r>
          </w:p>
          <w:p>
            <w:pPr>
              <w:spacing w:after="20" w:line="240" w:lineRule="auto"/>
            </w:pPr>
            <w:r>
              <w:rPr>
                <w:rFonts w:ascii="Calibri" w:hAnsi="Calibri" w:eastAsia="Calibri"/>
                <w:b/>
                <w:sz w:val="16"/>
              </w:rPr>
              <w:t xml:space="preserve">Procedure: </w:t>
            </w:r>
            <w:r>
              <w:rPr>
                <w:rFonts w:ascii="Calibri" w:hAnsi="Calibri" w:eastAsia="Calibri"/>
                <w:b w:val="0"/>
                <w:sz w:val="16"/>
              </w:rPr>
              <w:t>Submit the prepared extracted and intake inputs to the Normalization and Deterministic Validation Service and validate schema alignment. Inspect schema alignment, validation status, provenance capture, conflict handling, canonical-state merge behavior, and snapshot persistence where applicable.</w:t>
            </w:r>
          </w:p>
          <w:p>
            <w:pPr>
              <w:spacing w:after="20" w:line="240" w:lineRule="auto"/>
            </w:pPr>
            <w:r>
              <w:rPr>
                <w:rFonts w:ascii="Calibri" w:hAnsi="Calibri" w:eastAsia="Calibri"/>
                <w:b/>
                <w:sz w:val="16"/>
              </w:rPr>
              <w:t xml:space="preserve">Expected outcome: </w:t>
            </w:r>
            <w:r>
              <w:rPr>
                <w:rFonts w:ascii="Calibri" w:hAnsi="Calibri" w:eastAsia="Calibri"/>
                <w:b w:val="0"/>
                <w:sz w:val="16"/>
              </w:rPr>
              <w:t>The system accepts only valid canonical updates, preserves provenance and conflict state, and persists the canonical state or snapshot records required for replay and audit.</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canonical update set matches the controlled expectation, required CanonicalFieldRecord records are persisted, conflicts remain explicit when present, and replay-supporting snapshot or lineage content is created where required.</w:t>
            </w:r>
          </w:p>
        </w:tc>
      </w:tr>
      <w:tr>
        <w:trPr>
          <w:cantSplit/>
        </w:trPr>
        <w:tc>
          <w:tcPr>
            <w:tcW w:type="dxa" w:w="1152"/>
            <w:vAlign w:val="center"/>
            <w:tcMar>
              <w:top w:w="80" w:type="dxa"/>
              <w:start w:w="85" w:type="dxa"/>
              <w:bottom w:w="80" w:type="dxa"/>
              <w:end w:w="85" w:type="dxa"/>
            </w:tcMar>
            <w:shd w:fill="F7FBFF"/>
          </w:tcPr>
          <w:p>
            <w:pPr>
              <w:spacing w:after="40" w:line="240" w:lineRule="auto"/>
            </w:pPr>
            <w:r>
              <w:rPr>
                <w:rFonts w:ascii="Calibri" w:hAnsi="Calibri" w:eastAsia="Calibri"/>
                <w:b/>
                <w:sz w:val="16"/>
              </w:rPr>
              <w:t>TC-FR-NRM-02</w:t>
            </w:r>
          </w:p>
        </w:tc>
        <w:tc>
          <w:tcPr>
            <w:tcW w:type="dxa" w:w="1339"/>
            <w:vAlign w:val="center"/>
            <w:tcMar>
              <w:top w:w="80" w:type="dxa"/>
              <w:start w:w="85" w:type="dxa"/>
              <w:bottom w:w="80" w:type="dxa"/>
              <w:end w:w="85" w:type="dxa"/>
            </w:tcMar>
            <w:shd w:fill="F7FBFF"/>
          </w:tcPr>
          <w:p>
            <w:pPr>
              <w:spacing w:after="40" w:line="240" w:lineRule="auto"/>
            </w:pPr>
            <w:r>
              <w:rPr>
                <w:rFonts w:ascii="Calibri" w:hAnsi="Calibri" w:eastAsia="Calibri"/>
                <w:b/>
                <w:sz w:val="16"/>
              </w:rPr>
              <w:t>FR-NRM-02</w:t>
            </w:r>
          </w:p>
        </w:tc>
        <w:tc>
          <w:tcPr>
            <w:tcW w:type="dxa" w:w="2477"/>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Canonical Facility State Service</w:t>
            </w:r>
          </w:p>
        </w:tc>
        <w:tc>
          <w:tcPr>
            <w:tcW w:type="dxa" w:w="2189"/>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CanonicalFacilityState</w:t>
            </w:r>
          </w:p>
        </w:tc>
        <w:tc>
          <w:tcPr>
            <w:tcW w:type="dxa" w:w="138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The system shall maintain a single canonical facility state that supports document-derived values, interview-confirmed values, inferred values, assumed values, conflicting values, and missing values.</w:t>
            </w:r>
          </w:p>
        </w:tc>
        <w:tc>
          <w:tcPr>
            <w:tcW w:type="dxa" w:w="4104"/>
            <w:vAlign w:val="center"/>
            <w:tcMar>
              <w:top w:w="80" w:type="dxa"/>
              <w:start w:w="85" w:type="dxa"/>
              <w:bottom w:w="80" w:type="dxa"/>
              <w:end w:w="85" w:type="dxa"/>
            </w:tcMar>
            <w:shd w:fill="F7FBFF"/>
            <w:shd w:fill="F7FBFF"/>
          </w:tcPr>
          <w:p>
            <w:pPr>
              <w:spacing w:after="20" w:line="240" w:lineRule="auto"/>
            </w:pPr>
            <w:r/>
            <w:r>
              <w:rPr>
                <w:rFonts w:ascii="Calibri" w:hAnsi="Calibri" w:eastAsia="Calibri"/>
                <w:b/>
                <w:sz w:val="16"/>
              </w:rPr>
              <w:t xml:space="preserve">Test data: </w:t>
            </w:r>
            <w:r>
              <w:rPr>
                <w:rFonts w:ascii="Calibri" w:hAnsi="Calibri" w:eastAsia="Calibri"/>
                <w:b w:val="0"/>
                <w:sz w:val="16"/>
              </w:rPr>
              <w:t>Extracted candidates, interview answers, provenance records, and conflicting values prepared for deterministic validation and merge.</w:t>
            </w:r>
          </w:p>
          <w:p>
            <w:pPr>
              <w:spacing w:after="20" w:line="240" w:lineRule="auto"/>
            </w:pPr>
            <w:r>
              <w:rPr>
                <w:rFonts w:ascii="Calibri" w:hAnsi="Calibri" w:eastAsia="Calibri"/>
                <w:b/>
                <w:sz w:val="16"/>
              </w:rPr>
              <w:t xml:space="preserve">Procedure: </w:t>
            </w:r>
            <w:r>
              <w:rPr>
                <w:rFonts w:ascii="Calibri" w:hAnsi="Calibri" w:eastAsia="Calibri"/>
                <w:b w:val="0"/>
                <w:sz w:val="16"/>
              </w:rPr>
              <w:t>Submit the prepared extracted and intake inputs to the Canonical Facility State Service and verify canonical state construction. Inspect schema alignment, validation status, provenance capture, conflict handling, canonical-state merge behavior, and snapshot persistence where applicable.</w:t>
            </w:r>
          </w:p>
          <w:p>
            <w:pPr>
              <w:spacing w:after="20" w:line="240" w:lineRule="auto"/>
            </w:pPr>
            <w:r>
              <w:rPr>
                <w:rFonts w:ascii="Calibri" w:hAnsi="Calibri" w:eastAsia="Calibri"/>
                <w:b/>
                <w:sz w:val="16"/>
              </w:rPr>
              <w:t xml:space="preserve">Expected outcome: </w:t>
            </w:r>
            <w:r>
              <w:rPr>
                <w:rFonts w:ascii="Calibri" w:hAnsi="Calibri" w:eastAsia="Calibri"/>
                <w:b w:val="0"/>
                <w:sz w:val="16"/>
              </w:rPr>
              <w:t>The system accepts only valid canonical updates, preserves provenance and conflict state, and persists the canonical state or snapshot records required for replay and audit.</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canonical update set matches the controlled expectation, required CanonicalFacilityState records are persisted, conflicts remain explicit when present, and replay-supporting snapshot or lineage content is created where required.</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TC-FR-NRM-03</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FR-NRM-03</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Canonical Facility State Service</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ProvenanceRecord</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The system shall preserve field-level provenance and confidence metadata for canonical-state values.</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Extracted candidates, interview answers, provenance records, and conflicting values prepared for deterministic validation and merge.</w:t>
            </w:r>
          </w:p>
          <w:p>
            <w:pPr>
              <w:spacing w:after="20" w:line="240" w:lineRule="auto"/>
            </w:pPr>
            <w:r>
              <w:rPr>
                <w:rFonts w:ascii="Calibri" w:hAnsi="Calibri" w:eastAsia="Calibri"/>
                <w:b/>
                <w:sz w:val="16"/>
              </w:rPr>
              <w:t xml:space="preserve">Procedure: </w:t>
            </w:r>
            <w:r>
              <w:rPr>
                <w:rFonts w:ascii="Calibri" w:hAnsi="Calibri" w:eastAsia="Calibri"/>
                <w:b w:val="0"/>
                <w:sz w:val="16"/>
              </w:rPr>
              <w:t>Submit the prepared extracted and intake inputs to the Canonical Facility State Service and verify provenance metadata. Inspect schema alignment, validation status, provenance capture, conflict handling, canonical-state merge behavior, and snapshot persistence where applicable.</w:t>
            </w:r>
          </w:p>
          <w:p>
            <w:pPr>
              <w:spacing w:after="20" w:line="240" w:lineRule="auto"/>
            </w:pPr>
            <w:r>
              <w:rPr>
                <w:rFonts w:ascii="Calibri" w:hAnsi="Calibri" w:eastAsia="Calibri"/>
                <w:b/>
                <w:sz w:val="16"/>
              </w:rPr>
              <w:t xml:space="preserve">Expected outcome: </w:t>
            </w:r>
            <w:r>
              <w:rPr>
                <w:rFonts w:ascii="Calibri" w:hAnsi="Calibri" w:eastAsia="Calibri"/>
                <w:b w:val="0"/>
                <w:sz w:val="16"/>
              </w:rPr>
              <w:t>The system accepts only valid canonical updates, preserves provenance and conflict state, and persists the canonical state or snapshot records required for replay and audit.</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canonical update set matches the controlled expectation, required ProvenanceRecord records are persisted, conflicts remain explicit when present, and replay-supporting snapshot or lineage content is created where required.</w:t>
            </w:r>
          </w:p>
        </w:tc>
      </w:tr>
      <w:tr>
        <w:trPr>
          <w:cantSplit/>
        </w:trPr>
        <w:tc>
          <w:tcPr>
            <w:tcW w:type="dxa" w:w="1152"/>
            <w:vAlign w:val="center"/>
            <w:tcMar>
              <w:top w:w="80" w:type="dxa"/>
              <w:start w:w="85" w:type="dxa"/>
              <w:bottom w:w="80" w:type="dxa"/>
              <w:end w:w="85" w:type="dxa"/>
            </w:tcMar>
            <w:shd w:fill="F7FBFF"/>
          </w:tcPr>
          <w:p>
            <w:pPr>
              <w:spacing w:after="40" w:line="240" w:lineRule="auto"/>
            </w:pPr>
            <w:r>
              <w:rPr>
                <w:rFonts w:ascii="Calibri" w:hAnsi="Calibri" w:eastAsia="Calibri"/>
                <w:b/>
                <w:sz w:val="16"/>
              </w:rPr>
              <w:t>TC-FR-NRM-04</w:t>
            </w:r>
          </w:p>
        </w:tc>
        <w:tc>
          <w:tcPr>
            <w:tcW w:type="dxa" w:w="1339"/>
            <w:vAlign w:val="center"/>
            <w:tcMar>
              <w:top w:w="80" w:type="dxa"/>
              <w:start w:w="85" w:type="dxa"/>
              <w:bottom w:w="80" w:type="dxa"/>
              <w:end w:w="85" w:type="dxa"/>
            </w:tcMar>
            <w:shd w:fill="F7FBFF"/>
          </w:tcPr>
          <w:p>
            <w:pPr>
              <w:spacing w:after="40" w:line="240" w:lineRule="auto"/>
            </w:pPr>
            <w:r>
              <w:rPr>
                <w:rFonts w:ascii="Calibri" w:hAnsi="Calibri" w:eastAsia="Calibri"/>
                <w:b/>
                <w:sz w:val="16"/>
              </w:rPr>
              <w:t>FR-NRM-04</w:t>
            </w:r>
          </w:p>
        </w:tc>
        <w:tc>
          <w:tcPr>
            <w:tcW w:type="dxa" w:w="2477"/>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Normalization and Deterministic Validation Service</w:t>
            </w:r>
          </w:p>
        </w:tc>
        <w:tc>
          <w:tcPr>
            <w:tcW w:type="dxa" w:w="2189"/>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ConflictRecord</w:t>
            </w:r>
          </w:p>
        </w:tc>
        <w:tc>
          <w:tcPr>
            <w:tcW w:type="dxa" w:w="138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When multiple sources disagree, the system shall preserve the conflict, lower confidence as appropriate, and mark the field for clarification or review.</w:t>
            </w:r>
          </w:p>
        </w:tc>
        <w:tc>
          <w:tcPr>
            <w:tcW w:type="dxa" w:w="4104"/>
            <w:vAlign w:val="center"/>
            <w:tcMar>
              <w:top w:w="80" w:type="dxa"/>
              <w:start w:w="85" w:type="dxa"/>
              <w:bottom w:w="80" w:type="dxa"/>
              <w:end w:w="85" w:type="dxa"/>
            </w:tcMar>
            <w:shd w:fill="F7FBFF"/>
            <w:shd w:fill="F7FBFF"/>
          </w:tcPr>
          <w:p>
            <w:pPr>
              <w:spacing w:after="20" w:line="240" w:lineRule="auto"/>
            </w:pPr>
            <w:r/>
            <w:r>
              <w:rPr>
                <w:rFonts w:ascii="Calibri" w:hAnsi="Calibri" w:eastAsia="Calibri"/>
                <w:b/>
                <w:sz w:val="16"/>
              </w:rPr>
              <w:t xml:space="preserve">Test data: </w:t>
            </w:r>
            <w:r>
              <w:rPr>
                <w:rFonts w:ascii="Calibri" w:hAnsi="Calibri" w:eastAsia="Calibri"/>
                <w:b w:val="0"/>
                <w:sz w:val="16"/>
              </w:rPr>
              <w:t>Extracted candidates, interview answers, provenance records, and conflicting values prepared for deterministic validation and merge.</w:t>
            </w:r>
          </w:p>
          <w:p>
            <w:pPr>
              <w:spacing w:after="20" w:line="240" w:lineRule="auto"/>
            </w:pPr>
            <w:r>
              <w:rPr>
                <w:rFonts w:ascii="Calibri" w:hAnsi="Calibri" w:eastAsia="Calibri"/>
                <w:b/>
                <w:sz w:val="16"/>
              </w:rPr>
              <w:t xml:space="preserve">Procedure: </w:t>
            </w:r>
            <w:r>
              <w:rPr>
                <w:rFonts w:ascii="Calibri" w:hAnsi="Calibri" w:eastAsia="Calibri"/>
                <w:b w:val="0"/>
                <w:sz w:val="16"/>
              </w:rPr>
              <w:t>Submit the prepared extracted and intake inputs to the Normalization and Deterministic Validation Service and verify conflict detection and persistence. Inspect schema alignment, validation status, provenance capture, conflict handling, canonical-state merge behavior, and snapshot persistence where applicable.</w:t>
            </w:r>
          </w:p>
          <w:p>
            <w:pPr>
              <w:spacing w:after="20" w:line="240" w:lineRule="auto"/>
            </w:pPr>
            <w:r>
              <w:rPr>
                <w:rFonts w:ascii="Calibri" w:hAnsi="Calibri" w:eastAsia="Calibri"/>
                <w:b/>
                <w:sz w:val="16"/>
              </w:rPr>
              <w:t xml:space="preserve">Expected outcome: </w:t>
            </w:r>
            <w:r>
              <w:rPr>
                <w:rFonts w:ascii="Calibri" w:hAnsi="Calibri" w:eastAsia="Calibri"/>
                <w:b w:val="0"/>
                <w:sz w:val="16"/>
              </w:rPr>
              <w:t>The system accepts only valid canonical updates, preserves provenance and conflict state, and persists the canonical state or snapshot records required for replay and audit.</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canonical update set matches the controlled expectation, required ConflictRecord records are persisted, conflicts remain explicit when present, and replay-supporting snapshot or lineage content is created where required.</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TC-FR-NRM-05</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FR-NRM-05</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Canonical Facility State Service</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CanonicalStateSnapshot</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The system shall persist canonical-state snapshots or equivalent lineage records needed to reproduce a modeling run.</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Extracted candidates, interview answers, provenance records, and conflicting values prepared for deterministic validation and merge.</w:t>
            </w:r>
          </w:p>
          <w:p>
            <w:pPr>
              <w:spacing w:after="20" w:line="240" w:lineRule="auto"/>
            </w:pPr>
            <w:r>
              <w:rPr>
                <w:rFonts w:ascii="Calibri" w:hAnsi="Calibri" w:eastAsia="Calibri"/>
                <w:b/>
                <w:sz w:val="16"/>
              </w:rPr>
              <w:t xml:space="preserve">Procedure: </w:t>
            </w:r>
            <w:r>
              <w:rPr>
                <w:rFonts w:ascii="Calibri" w:hAnsi="Calibri" w:eastAsia="Calibri"/>
                <w:b w:val="0"/>
                <w:sz w:val="16"/>
              </w:rPr>
              <w:t>Submit the prepared extracted and intake inputs to the Canonical Facility State Service and verify snapshot generation. Inspect schema alignment, validation status, provenance capture, conflict handling, canonical-state merge behavior, and snapshot persistence where applicable.</w:t>
            </w:r>
          </w:p>
          <w:p>
            <w:pPr>
              <w:spacing w:after="20" w:line="240" w:lineRule="auto"/>
            </w:pPr>
            <w:r>
              <w:rPr>
                <w:rFonts w:ascii="Calibri" w:hAnsi="Calibri" w:eastAsia="Calibri"/>
                <w:b/>
                <w:sz w:val="16"/>
              </w:rPr>
              <w:t xml:space="preserve">Expected outcome: </w:t>
            </w:r>
            <w:r>
              <w:rPr>
                <w:rFonts w:ascii="Calibri" w:hAnsi="Calibri" w:eastAsia="Calibri"/>
                <w:b w:val="0"/>
                <w:sz w:val="16"/>
              </w:rPr>
              <w:t>The system accepts only valid canonical updates, preserves provenance and conflict state, and persists the canonical state or snapshot records required for replay and audit.</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canonical update set matches the controlled expectation, required CanonicalStateSnapshot records are persisted, conflicts remain explicit when present, and replay-supporting snapshot or lineage content is created where required.</w:t>
            </w:r>
          </w:p>
        </w:tc>
      </w:tr>
    </w:tbl>
    <w:p>
      <w:pPr>
        <w:spacing w:after="80"/>
      </w:pPr>
    </w:p>
    <w:p>
      <w:pPr>
        <w:keepNext/>
        <w:spacing w:before="200" w:after="80"/>
      </w:pPr>
      <w:r>
        <w:rPr>
          <w:rFonts w:ascii="Aptos" w:hAnsi="Aptos" w:eastAsia="Aptos"/>
          <w:b/>
          <w:color w:val="1F4E79"/>
          <w:sz w:val="28"/>
        </w:rPr>
        <w:t>6.7 Functional Requirement Verification — Translation and Output Generation</w:t>
      </w:r>
    </w:p>
    <w:p>
      <w:pPr>
        <w:spacing w:after="80"/>
      </w:pPr>
      <w:r>
        <w:rPr>
          <w:rFonts w:ascii="Aptos" w:hAnsi="Aptos" w:eastAsia="Aptos"/>
          <w:sz w:val="22"/>
        </w:rPr>
        <w:t>The following matrix provides requirement-level verification coverage for this requirement family.</w:t>
      </w:r>
    </w:p>
    <w:tbl>
      <w:tblPr>
        <w:tblStyle w:val="TableGrid"/>
        <w:tblW w:type="auto" w:w="0"/>
        <w:jc w:val="center"/>
        <w:tblLook w:firstColumn="1" w:firstRow="1" w:lastColumn="0" w:lastRow="0" w:noHBand="0" w:noVBand="1" w:val="04A0"/>
      </w:tblPr>
      <w:tblGrid>
        <w:gridCol w:w="2037"/>
        <w:gridCol w:w="2037"/>
        <w:gridCol w:w="2037"/>
        <w:gridCol w:w="2037"/>
        <w:gridCol w:w="2037"/>
        <w:gridCol w:w="2037"/>
        <w:gridCol w:w="2037"/>
      </w:tblGrid>
      <w:tr>
        <w:trPr>
          <w:tblHeader w:val="true"/>
        </w:trPr>
        <w:tc>
          <w:tcPr>
            <w:tcW w:type="dxa" w:w="1152"/>
            <w:vAlign w:val="center"/>
            <w:shd w:fill="1F4E78"/>
            <w:tcMar>
              <w:top w:w="90" w:type="dxa"/>
              <w:start w:w="90" w:type="dxa"/>
              <w:bottom w:w="90" w:type="dxa"/>
              <w:end w:w="90" w:type="dxa"/>
            </w:tcMar>
          </w:tcPr>
          <w:p>
            <w:pPr>
              <w:jc w:val="center"/>
            </w:pPr>
            <w:r>
              <w:rPr>
                <w:rFonts w:ascii="Calibri" w:hAnsi="Calibri" w:eastAsia="Calibri"/>
                <w:b/>
                <w:color w:val="FFFFFF"/>
                <w:sz w:val="17"/>
              </w:rPr>
              <w:t>Test Case</w:t>
            </w:r>
          </w:p>
        </w:tc>
        <w:tc>
          <w:tcPr>
            <w:tcW w:type="dxa" w:w="1339"/>
            <w:vAlign w:val="center"/>
            <w:shd w:fill="1F4E78"/>
            <w:tcMar>
              <w:top w:w="90" w:type="dxa"/>
              <w:start w:w="90" w:type="dxa"/>
              <w:bottom w:w="90" w:type="dxa"/>
              <w:end w:w="90" w:type="dxa"/>
            </w:tcMar>
          </w:tcPr>
          <w:p>
            <w:pPr>
              <w:jc w:val="center"/>
            </w:pPr>
            <w:r>
              <w:rPr>
                <w:rFonts w:ascii="Calibri" w:hAnsi="Calibri" w:eastAsia="Calibri"/>
                <w:b/>
                <w:color w:val="FFFFFF"/>
                <w:sz w:val="17"/>
              </w:rPr>
              <w:t>Requirement</w:t>
            </w:r>
          </w:p>
        </w:tc>
        <w:tc>
          <w:tcPr>
            <w:tcW w:type="dxa" w:w="2477"/>
            <w:vAlign w:val="center"/>
            <w:shd w:fill="1F4E78"/>
            <w:tcMar>
              <w:top w:w="90" w:type="dxa"/>
              <w:start w:w="90" w:type="dxa"/>
              <w:bottom w:w="90" w:type="dxa"/>
              <w:end w:w="90" w:type="dxa"/>
            </w:tcMar>
          </w:tcPr>
          <w:p>
            <w:pPr>
              <w:jc w:val="center"/>
            </w:pPr>
            <w:r>
              <w:rPr>
                <w:rFonts w:ascii="Calibri" w:hAnsi="Calibri" w:eastAsia="Calibri"/>
                <w:b/>
                <w:color w:val="FFFFFF"/>
                <w:sz w:val="17"/>
              </w:rPr>
              <w:t>Implementing Component(s)</w:t>
            </w:r>
          </w:p>
        </w:tc>
        <w:tc>
          <w:tcPr>
            <w:tcW w:type="dxa" w:w="2189"/>
            <w:vAlign w:val="center"/>
            <w:shd w:fill="1F4E78"/>
            <w:tcMar>
              <w:top w:w="90" w:type="dxa"/>
              <w:start w:w="90" w:type="dxa"/>
              <w:bottom w:w="90" w:type="dxa"/>
              <w:end w:w="90" w:type="dxa"/>
            </w:tcMar>
          </w:tcPr>
          <w:p>
            <w:pPr>
              <w:jc w:val="center"/>
            </w:pPr>
            <w:r>
              <w:rPr>
                <w:rFonts w:ascii="Calibri" w:hAnsi="Calibri" w:eastAsia="Calibri"/>
                <w:b/>
                <w:color w:val="FFFFFF"/>
                <w:sz w:val="17"/>
              </w:rPr>
              <w:t>Supporting Data Structures</w:t>
            </w:r>
          </w:p>
        </w:tc>
        <w:tc>
          <w:tcPr>
            <w:tcW w:type="dxa" w:w="1382"/>
            <w:vAlign w:val="center"/>
            <w:shd w:fill="1F4E78"/>
            <w:tcMar>
              <w:top w:w="90" w:type="dxa"/>
              <w:start w:w="90" w:type="dxa"/>
              <w:bottom w:w="90" w:type="dxa"/>
              <w:end w:w="90" w:type="dxa"/>
            </w:tcMar>
          </w:tcPr>
          <w:p>
            <w:pPr>
              <w:jc w:val="center"/>
            </w:pPr>
            <w:r>
              <w:rPr>
                <w:rFonts w:ascii="Calibri" w:hAnsi="Calibri" w:eastAsia="Calibri"/>
                <w:b/>
                <w:color w:val="FFFFFF"/>
                <w:sz w:val="17"/>
              </w:rPr>
              <w:t>Method</w:t>
            </w:r>
          </w:p>
        </w:tc>
        <w:tc>
          <w:tcPr>
            <w:tcW w:type="dxa" w:w="3672"/>
            <w:vAlign w:val="center"/>
            <w:shd w:fill="1F4E78"/>
            <w:tcMar>
              <w:top w:w="90" w:type="dxa"/>
              <w:start w:w="90" w:type="dxa"/>
              <w:bottom w:w="90" w:type="dxa"/>
              <w:end w:w="90" w:type="dxa"/>
            </w:tcMar>
          </w:tcPr>
          <w:p>
            <w:pPr>
              <w:jc w:val="center"/>
            </w:pPr>
            <w:r>
              <w:rPr>
                <w:rFonts w:ascii="Calibri" w:hAnsi="Calibri" w:eastAsia="Calibri"/>
                <w:b/>
                <w:color w:val="FFFFFF"/>
                <w:sz w:val="17"/>
              </w:rPr>
              <w:t>Requirement Statement</w:t>
            </w:r>
          </w:p>
        </w:tc>
        <w:tc>
          <w:tcPr>
            <w:tcW w:type="dxa" w:w="4104"/>
            <w:vAlign w:val="center"/>
            <w:shd w:fill="1F4E78"/>
            <w:tcMar>
              <w:top w:w="90" w:type="dxa"/>
              <w:start w:w="90" w:type="dxa"/>
              <w:bottom w:w="90" w:type="dxa"/>
              <w:end w:w="90" w:type="dxa"/>
            </w:tcMar>
          </w:tcPr>
          <w:p>
            <w:pPr>
              <w:jc w:val="center"/>
            </w:pPr>
            <w:r>
              <w:rPr>
                <w:rFonts w:ascii="Calibri" w:hAnsi="Calibri" w:eastAsia="Calibri"/>
                <w:b/>
                <w:color w:val="FFFFFF"/>
                <w:sz w:val="17"/>
              </w:rPr>
              <w:t>Verification Detail</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TC-FR-TRN-01</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FR-TRN-01</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Translation Service</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ModelingParameterSet</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The system shall generate planner-ready outputs aligned to GridSenpAI_outputs_schema.json.</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Validated CanonicalFacilityState snapshot with evidence bundle, translation rules, and unresolved-field fixture where applicable.</w:t>
            </w:r>
          </w:p>
          <w:p>
            <w:pPr>
              <w:spacing w:after="20" w:line="240" w:lineRule="auto"/>
            </w:pPr>
            <w:r>
              <w:rPr>
                <w:rFonts w:ascii="Calibri" w:hAnsi="Calibri" w:eastAsia="Calibri"/>
                <w:b/>
                <w:sz w:val="16"/>
              </w:rPr>
              <w:t xml:space="preserve">Procedure: </w:t>
            </w:r>
            <w:r>
              <w:rPr>
                <w:rFonts w:ascii="Calibri" w:hAnsi="Calibri" w:eastAsia="Calibri"/>
                <w:b w:val="0"/>
                <w:sz w:val="16"/>
              </w:rPr>
              <w:t>Execute the Translation Service from a validated CanonicalFacilityState snapshot and validate parameter generation. Inspect parameter derivation, terminology translation, rationale attachment, confidence handling, and unresolved-field reporting.</w:t>
            </w:r>
          </w:p>
          <w:p>
            <w:pPr>
              <w:spacing w:after="20" w:line="240" w:lineRule="auto"/>
            </w:pPr>
            <w:r>
              <w:rPr>
                <w:rFonts w:ascii="Calibri" w:hAnsi="Calibri" w:eastAsia="Calibri"/>
                <w:b/>
                <w:sz w:val="16"/>
              </w:rPr>
              <w:t xml:space="preserve">Expected outcome: </w:t>
            </w:r>
            <w:r>
              <w:rPr>
                <w:rFonts w:ascii="Calibri" w:hAnsi="Calibri" w:eastAsia="Calibri"/>
                <w:b w:val="0"/>
                <w:sz w:val="16"/>
              </w:rPr>
              <w:t>The system generates the required modeling output content from canonical state, including rationale, confidence, and unresolved-item handling aligned to the output contract.</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derived output matches the controlled expectation for content and status, required ModelingParameterSet records are created, and the output preserves rationale, confidence, and unresolved-item behavior required by the SRS.</w:t>
            </w:r>
          </w:p>
        </w:tc>
      </w:tr>
      <w:tr>
        <w:trPr>
          <w:cantSplit/>
        </w:trPr>
        <w:tc>
          <w:tcPr>
            <w:tcW w:type="dxa" w:w="1152"/>
            <w:vAlign w:val="center"/>
            <w:tcMar>
              <w:top w:w="80" w:type="dxa"/>
              <w:start w:w="85" w:type="dxa"/>
              <w:bottom w:w="80" w:type="dxa"/>
              <w:end w:w="85" w:type="dxa"/>
            </w:tcMar>
            <w:shd w:fill="F7FBFF"/>
          </w:tcPr>
          <w:p>
            <w:pPr>
              <w:spacing w:after="40" w:line="240" w:lineRule="auto"/>
            </w:pPr>
            <w:r>
              <w:rPr>
                <w:rFonts w:ascii="Calibri" w:hAnsi="Calibri" w:eastAsia="Calibri"/>
                <w:b/>
                <w:sz w:val="16"/>
              </w:rPr>
              <w:t>TC-FR-TRN-02</w:t>
            </w:r>
          </w:p>
        </w:tc>
        <w:tc>
          <w:tcPr>
            <w:tcW w:type="dxa" w:w="1339"/>
            <w:vAlign w:val="center"/>
            <w:tcMar>
              <w:top w:w="80" w:type="dxa"/>
              <w:start w:w="85" w:type="dxa"/>
              <w:bottom w:w="80" w:type="dxa"/>
              <w:end w:w="85" w:type="dxa"/>
            </w:tcMar>
            <w:shd w:fill="F7FBFF"/>
          </w:tcPr>
          <w:p>
            <w:pPr>
              <w:spacing w:after="40" w:line="240" w:lineRule="auto"/>
            </w:pPr>
            <w:r>
              <w:rPr>
                <w:rFonts w:ascii="Calibri" w:hAnsi="Calibri" w:eastAsia="Calibri"/>
                <w:b/>
                <w:sz w:val="16"/>
              </w:rPr>
              <w:t>FR-TRN-02</w:t>
            </w:r>
          </w:p>
        </w:tc>
        <w:tc>
          <w:tcPr>
            <w:tcW w:type="dxa" w:w="2477"/>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Translation Service</w:t>
            </w:r>
          </w:p>
        </w:tc>
        <w:tc>
          <w:tcPr>
            <w:tcW w:type="dxa" w:w="2189"/>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ModelingParameter</w:t>
            </w:r>
          </w:p>
        </w:tc>
        <w:tc>
          <w:tcPr>
            <w:tcW w:type="dxa" w:w="138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The system shall produce modeling parameters covering, at minimum where applicable, steady-state behavior, ZIP load characteristics, dynamic parameters, load composition, ramping characteristics, and review flags.</w:t>
            </w:r>
          </w:p>
        </w:tc>
        <w:tc>
          <w:tcPr>
            <w:tcW w:type="dxa" w:w="4104"/>
            <w:vAlign w:val="center"/>
            <w:tcMar>
              <w:top w:w="80" w:type="dxa"/>
              <w:start w:w="85" w:type="dxa"/>
              <w:bottom w:w="80" w:type="dxa"/>
              <w:end w:w="85" w:type="dxa"/>
            </w:tcMar>
            <w:shd w:fill="F7FBFF"/>
            <w:shd w:fill="F7FBFF"/>
          </w:tcPr>
          <w:p>
            <w:pPr>
              <w:spacing w:after="20" w:line="240" w:lineRule="auto"/>
            </w:pPr>
            <w:r/>
            <w:r>
              <w:rPr>
                <w:rFonts w:ascii="Calibri" w:hAnsi="Calibri" w:eastAsia="Calibri"/>
                <w:b/>
                <w:sz w:val="16"/>
              </w:rPr>
              <w:t xml:space="preserve">Test data: </w:t>
            </w:r>
            <w:r>
              <w:rPr>
                <w:rFonts w:ascii="Calibri" w:hAnsi="Calibri" w:eastAsia="Calibri"/>
                <w:b w:val="0"/>
                <w:sz w:val="16"/>
              </w:rPr>
              <w:t>Validated CanonicalFacilityState snapshot with evidence bundle, translation rules, and unresolved-field fixture where applicable.</w:t>
            </w:r>
          </w:p>
          <w:p>
            <w:pPr>
              <w:spacing w:after="20" w:line="240" w:lineRule="auto"/>
            </w:pPr>
            <w:r>
              <w:rPr>
                <w:rFonts w:ascii="Calibri" w:hAnsi="Calibri" w:eastAsia="Calibri"/>
                <w:b/>
                <w:sz w:val="16"/>
              </w:rPr>
              <w:t xml:space="preserve">Procedure: </w:t>
            </w:r>
            <w:r>
              <w:rPr>
                <w:rFonts w:ascii="Calibri" w:hAnsi="Calibri" w:eastAsia="Calibri"/>
                <w:b w:val="0"/>
                <w:sz w:val="16"/>
              </w:rPr>
              <w:t>Execute the Translation Service from a validated CanonicalFacilityState snapshot and verify parameter content. Inspect parameter derivation, terminology translation, rationale attachment, confidence handling, and unresolved-field reporting.</w:t>
            </w:r>
          </w:p>
          <w:p>
            <w:pPr>
              <w:spacing w:after="20" w:line="240" w:lineRule="auto"/>
            </w:pPr>
            <w:r>
              <w:rPr>
                <w:rFonts w:ascii="Calibri" w:hAnsi="Calibri" w:eastAsia="Calibri"/>
                <w:b/>
                <w:sz w:val="16"/>
              </w:rPr>
              <w:t xml:space="preserve">Expected outcome: </w:t>
            </w:r>
            <w:r>
              <w:rPr>
                <w:rFonts w:ascii="Calibri" w:hAnsi="Calibri" w:eastAsia="Calibri"/>
                <w:b w:val="0"/>
                <w:sz w:val="16"/>
              </w:rPr>
              <w:t>The system generates the required modeling output content from canonical state, including rationale, confidence, and unresolved-item handling aligned to the output contract.</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derived output matches the controlled expectation for content and status, required ModelingParameter records are created, and the output preserves rationale, confidence, and unresolved-item behavior required by the SRS.</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TC-FR-TRN-03</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FR-TRN-03</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Translation Service</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TranslationRuleReference</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Unit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The system shall translate terminology and context so semantically equivalent facility-side and grid-side concepts are explained and exported consistently.</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Validated CanonicalFacilityState snapshot with evidence bundle, translation rules, and unresolved-field fixture where applicable.</w:t>
            </w:r>
          </w:p>
          <w:p>
            <w:pPr>
              <w:spacing w:after="20" w:line="240" w:lineRule="auto"/>
            </w:pPr>
            <w:r>
              <w:rPr>
                <w:rFonts w:ascii="Calibri" w:hAnsi="Calibri" w:eastAsia="Calibri"/>
                <w:b/>
                <w:sz w:val="16"/>
              </w:rPr>
              <w:t xml:space="preserve">Procedure: </w:t>
            </w:r>
            <w:r>
              <w:rPr>
                <w:rFonts w:ascii="Calibri" w:hAnsi="Calibri" w:eastAsia="Calibri"/>
                <w:b w:val="0"/>
                <w:sz w:val="16"/>
              </w:rPr>
              <w:t>Execute the Translation Service from a validated CanonicalFacilityState snapshot and validate terminology mapping. Inspect parameter derivation, terminology translation, rationale attachment, confidence handling, and unresolved-field reporting.</w:t>
            </w:r>
          </w:p>
          <w:p>
            <w:pPr>
              <w:spacing w:after="20" w:line="240" w:lineRule="auto"/>
            </w:pPr>
            <w:r>
              <w:rPr>
                <w:rFonts w:ascii="Calibri" w:hAnsi="Calibri" w:eastAsia="Calibri"/>
                <w:b/>
                <w:sz w:val="16"/>
              </w:rPr>
              <w:t xml:space="preserve">Expected outcome: </w:t>
            </w:r>
            <w:r>
              <w:rPr>
                <w:rFonts w:ascii="Calibri" w:hAnsi="Calibri" w:eastAsia="Calibri"/>
                <w:b w:val="0"/>
                <w:sz w:val="16"/>
              </w:rPr>
              <w:t>The system generates the required modeling output content from canonical state, including rationale, confidence, and unresolved-item handling aligned to the output contract.</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derived output matches the controlled expectation for content and status, required TranslationRuleReference records are created, and the output preserves rationale, confidence, and unresolved-item behavior required by the SRS.</w:t>
            </w:r>
          </w:p>
        </w:tc>
      </w:tr>
      <w:tr>
        <w:trPr>
          <w:cantSplit/>
        </w:trPr>
        <w:tc>
          <w:tcPr>
            <w:tcW w:type="dxa" w:w="1152"/>
            <w:vAlign w:val="center"/>
            <w:tcMar>
              <w:top w:w="80" w:type="dxa"/>
              <w:start w:w="85" w:type="dxa"/>
              <w:bottom w:w="80" w:type="dxa"/>
              <w:end w:w="85" w:type="dxa"/>
            </w:tcMar>
            <w:shd w:fill="F7FBFF"/>
          </w:tcPr>
          <w:p>
            <w:pPr>
              <w:spacing w:after="40" w:line="240" w:lineRule="auto"/>
            </w:pPr>
            <w:r>
              <w:rPr>
                <w:rFonts w:ascii="Calibri" w:hAnsi="Calibri" w:eastAsia="Calibri"/>
                <w:b/>
                <w:sz w:val="16"/>
              </w:rPr>
              <w:t>TC-FR-TRN-04</w:t>
            </w:r>
          </w:p>
        </w:tc>
        <w:tc>
          <w:tcPr>
            <w:tcW w:type="dxa" w:w="1339"/>
            <w:vAlign w:val="center"/>
            <w:tcMar>
              <w:top w:w="80" w:type="dxa"/>
              <w:start w:w="85" w:type="dxa"/>
              <w:bottom w:w="80" w:type="dxa"/>
              <w:end w:w="85" w:type="dxa"/>
            </w:tcMar>
            <w:shd w:fill="F7FBFF"/>
          </w:tcPr>
          <w:p>
            <w:pPr>
              <w:spacing w:after="40" w:line="240" w:lineRule="auto"/>
            </w:pPr>
            <w:r>
              <w:rPr>
                <w:rFonts w:ascii="Calibri" w:hAnsi="Calibri" w:eastAsia="Calibri"/>
                <w:b/>
                <w:sz w:val="16"/>
              </w:rPr>
              <w:t>FR-TRN-04</w:t>
            </w:r>
          </w:p>
        </w:tc>
        <w:tc>
          <w:tcPr>
            <w:tcW w:type="dxa" w:w="2477"/>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Export and Versioning Service</w:t>
            </w:r>
          </w:p>
        </w:tc>
        <w:tc>
          <w:tcPr>
            <w:tcW w:type="dxa" w:w="2189"/>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OutputPacket</w:t>
            </w:r>
          </w:p>
        </w:tc>
        <w:tc>
          <w:tcPr>
            <w:tcW w:type="dxa" w:w="138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The system shall produce a modeling-ready technical intake package that distinguishes confirmed values, evidence-backed inferred values, assumptions, unresolved gaps, and review-required conflicts.</w:t>
            </w:r>
          </w:p>
        </w:tc>
        <w:tc>
          <w:tcPr>
            <w:tcW w:type="dxa" w:w="4104"/>
            <w:vAlign w:val="center"/>
            <w:tcMar>
              <w:top w:w="80" w:type="dxa"/>
              <w:start w:w="85" w:type="dxa"/>
              <w:bottom w:w="80" w:type="dxa"/>
              <w:end w:w="85" w:type="dxa"/>
            </w:tcMar>
            <w:shd w:fill="F7FBFF"/>
            <w:shd w:fill="F7FBFF"/>
          </w:tcPr>
          <w:p>
            <w:pPr>
              <w:spacing w:after="20" w:line="240" w:lineRule="auto"/>
            </w:pPr>
            <w:r/>
            <w:r>
              <w:rPr>
                <w:rFonts w:ascii="Calibri" w:hAnsi="Calibri" w:eastAsia="Calibri"/>
                <w:b/>
                <w:sz w:val="16"/>
              </w:rPr>
              <w:t xml:space="preserve">Test data: </w:t>
            </w:r>
            <w:r>
              <w:rPr>
                <w:rFonts w:ascii="Calibri" w:hAnsi="Calibri" w:eastAsia="Calibri"/>
                <w:b w:val="0"/>
                <w:sz w:val="16"/>
              </w:rPr>
              <w:t>Validated CanonicalFacilityState snapshot with evidence bundle, translation rules, and unresolved-field fixture where applicable.</w:t>
            </w:r>
          </w:p>
          <w:p>
            <w:pPr>
              <w:spacing w:after="20" w:line="240" w:lineRule="auto"/>
            </w:pPr>
            <w:r>
              <w:rPr>
                <w:rFonts w:ascii="Calibri" w:hAnsi="Calibri" w:eastAsia="Calibri"/>
                <w:b/>
                <w:sz w:val="16"/>
              </w:rPr>
              <w:t xml:space="preserve">Procedure: </w:t>
            </w:r>
            <w:r>
              <w:rPr>
                <w:rFonts w:ascii="Calibri" w:hAnsi="Calibri" w:eastAsia="Calibri"/>
                <w:b w:val="0"/>
                <w:sz w:val="16"/>
              </w:rPr>
              <w:t>Execute the Export and Versioning Service from a validated CanonicalFacilityState snapshot and validate modeling packet contents. Inspect parameter derivation, terminology translation, rationale attachment, confidence handling, and unresolved-field reporting.</w:t>
            </w:r>
          </w:p>
          <w:p>
            <w:pPr>
              <w:spacing w:after="20" w:line="240" w:lineRule="auto"/>
            </w:pPr>
            <w:r>
              <w:rPr>
                <w:rFonts w:ascii="Calibri" w:hAnsi="Calibri" w:eastAsia="Calibri"/>
                <w:b/>
                <w:sz w:val="16"/>
              </w:rPr>
              <w:t xml:space="preserve">Expected outcome: </w:t>
            </w:r>
            <w:r>
              <w:rPr>
                <w:rFonts w:ascii="Calibri" w:hAnsi="Calibri" w:eastAsia="Calibri"/>
                <w:b w:val="0"/>
                <w:sz w:val="16"/>
              </w:rPr>
              <w:t>The system generates the required modeling output content from canonical state, including rationale, confidence, and unresolved-item handling aligned to the output contract.</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derived output matches the controlled expectation for content and status, required OutputPacket records are created, and the output preserves rationale, confidence, and unresolved-item behavior required by the SRS.</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TC-FR-TRN-05</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FR-TRN-05</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Translation Service</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ModelingParameter</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The system shall attach confidence tags and rationale to derived outputs.</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Validated CanonicalFacilityState snapshot with evidence bundle, translation rules, and unresolved-field fixture where applicable.</w:t>
            </w:r>
          </w:p>
          <w:p>
            <w:pPr>
              <w:spacing w:after="20" w:line="240" w:lineRule="auto"/>
            </w:pPr>
            <w:r>
              <w:rPr>
                <w:rFonts w:ascii="Calibri" w:hAnsi="Calibri" w:eastAsia="Calibri"/>
                <w:b/>
                <w:sz w:val="16"/>
              </w:rPr>
              <w:t xml:space="preserve">Procedure: </w:t>
            </w:r>
            <w:r>
              <w:rPr>
                <w:rFonts w:ascii="Calibri" w:hAnsi="Calibri" w:eastAsia="Calibri"/>
                <w:b w:val="0"/>
                <w:sz w:val="16"/>
              </w:rPr>
              <w:t>Execute the Translation Service from a validated CanonicalFacilityState snapshot and verify rationale linkage. Inspect parameter derivation, terminology translation, rationale attachment, confidence handling, and unresolved-field reporting.</w:t>
            </w:r>
          </w:p>
          <w:p>
            <w:pPr>
              <w:spacing w:after="20" w:line="240" w:lineRule="auto"/>
            </w:pPr>
            <w:r>
              <w:rPr>
                <w:rFonts w:ascii="Calibri" w:hAnsi="Calibri" w:eastAsia="Calibri"/>
                <w:b/>
                <w:sz w:val="16"/>
              </w:rPr>
              <w:t xml:space="preserve">Expected outcome: </w:t>
            </w:r>
            <w:r>
              <w:rPr>
                <w:rFonts w:ascii="Calibri" w:hAnsi="Calibri" w:eastAsia="Calibri"/>
                <w:b w:val="0"/>
                <w:sz w:val="16"/>
              </w:rPr>
              <w:t>The system generates the required modeling output content from canonical state, including rationale, confidence, and unresolved-item handling aligned to the output contract.</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derived output matches the controlled expectation for content and status, required ModelingParameter records are created, and the output preserves rationale, confidence, and unresolved-item behavior required by the SRS.</w:t>
            </w:r>
          </w:p>
        </w:tc>
      </w:tr>
      <w:tr>
        <w:trPr>
          <w:cantSplit/>
        </w:trPr>
        <w:tc>
          <w:tcPr>
            <w:tcW w:type="dxa" w:w="1152"/>
            <w:vAlign w:val="center"/>
            <w:tcMar>
              <w:top w:w="80" w:type="dxa"/>
              <w:start w:w="85" w:type="dxa"/>
              <w:bottom w:w="80" w:type="dxa"/>
              <w:end w:w="85" w:type="dxa"/>
            </w:tcMar>
            <w:shd w:fill="F7FBFF"/>
          </w:tcPr>
          <w:p>
            <w:pPr>
              <w:spacing w:after="40" w:line="240" w:lineRule="auto"/>
            </w:pPr>
            <w:r>
              <w:rPr>
                <w:rFonts w:ascii="Calibri" w:hAnsi="Calibri" w:eastAsia="Calibri"/>
                <w:b/>
                <w:sz w:val="16"/>
              </w:rPr>
              <w:t>TC-FR-TRN-06</w:t>
            </w:r>
          </w:p>
        </w:tc>
        <w:tc>
          <w:tcPr>
            <w:tcW w:type="dxa" w:w="1339"/>
            <w:vAlign w:val="center"/>
            <w:tcMar>
              <w:top w:w="80" w:type="dxa"/>
              <w:start w:w="85" w:type="dxa"/>
              <w:bottom w:w="80" w:type="dxa"/>
              <w:end w:w="85" w:type="dxa"/>
            </w:tcMar>
            <w:shd w:fill="F7FBFF"/>
          </w:tcPr>
          <w:p>
            <w:pPr>
              <w:spacing w:after="40" w:line="240" w:lineRule="auto"/>
            </w:pPr>
            <w:r>
              <w:rPr>
                <w:rFonts w:ascii="Calibri" w:hAnsi="Calibri" w:eastAsia="Calibri"/>
                <w:b/>
                <w:sz w:val="16"/>
              </w:rPr>
              <w:t>FR-TRN-06</w:t>
            </w:r>
          </w:p>
        </w:tc>
        <w:tc>
          <w:tcPr>
            <w:tcW w:type="dxa" w:w="2477"/>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Translation Service</w:t>
            </w:r>
          </w:p>
        </w:tc>
        <w:tc>
          <w:tcPr>
            <w:tcW w:type="dxa" w:w="2189"/>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ReviewFlag</w:t>
            </w:r>
          </w:p>
        </w:tc>
        <w:tc>
          <w:tcPr>
            <w:tcW w:type="dxa" w:w="138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The system shall support generation of missing-information lists and targeted follow-up questions when modeling-critical fields remain unresolved.</w:t>
            </w:r>
          </w:p>
        </w:tc>
        <w:tc>
          <w:tcPr>
            <w:tcW w:type="dxa" w:w="4104"/>
            <w:vAlign w:val="center"/>
            <w:tcMar>
              <w:top w:w="80" w:type="dxa"/>
              <w:start w:w="85" w:type="dxa"/>
              <w:bottom w:w="80" w:type="dxa"/>
              <w:end w:w="85" w:type="dxa"/>
            </w:tcMar>
            <w:shd w:fill="F7FBFF"/>
            <w:shd w:fill="F7FBFF"/>
          </w:tcPr>
          <w:p>
            <w:pPr>
              <w:spacing w:after="20" w:line="240" w:lineRule="auto"/>
            </w:pPr>
            <w:r/>
            <w:r>
              <w:rPr>
                <w:rFonts w:ascii="Calibri" w:hAnsi="Calibri" w:eastAsia="Calibri"/>
                <w:b/>
                <w:sz w:val="16"/>
              </w:rPr>
              <w:t xml:space="preserve">Test data: </w:t>
            </w:r>
            <w:r>
              <w:rPr>
                <w:rFonts w:ascii="Calibri" w:hAnsi="Calibri" w:eastAsia="Calibri"/>
                <w:b w:val="0"/>
                <w:sz w:val="16"/>
              </w:rPr>
              <w:t>Validated CanonicalFacilityState snapshot with evidence bundle, translation rules, and unresolved-field fixture where applicable.</w:t>
            </w:r>
          </w:p>
          <w:p>
            <w:pPr>
              <w:spacing w:after="20" w:line="240" w:lineRule="auto"/>
            </w:pPr>
            <w:r>
              <w:rPr>
                <w:rFonts w:ascii="Calibri" w:hAnsi="Calibri" w:eastAsia="Calibri"/>
                <w:b/>
                <w:sz w:val="16"/>
              </w:rPr>
              <w:t xml:space="preserve">Procedure: </w:t>
            </w:r>
            <w:r>
              <w:rPr>
                <w:rFonts w:ascii="Calibri" w:hAnsi="Calibri" w:eastAsia="Calibri"/>
                <w:b w:val="0"/>
                <w:sz w:val="16"/>
              </w:rPr>
              <w:t>Execute the Translation Service from a validated CanonicalFacilityState snapshot and verify missing‑field reporting. Inspect parameter derivation, terminology translation, rationale attachment, confidence handling, and unresolved-field reporting.</w:t>
            </w:r>
          </w:p>
          <w:p>
            <w:pPr>
              <w:spacing w:after="20" w:line="240" w:lineRule="auto"/>
            </w:pPr>
            <w:r>
              <w:rPr>
                <w:rFonts w:ascii="Calibri" w:hAnsi="Calibri" w:eastAsia="Calibri"/>
                <w:b/>
                <w:sz w:val="16"/>
              </w:rPr>
              <w:t xml:space="preserve">Expected outcome: </w:t>
            </w:r>
            <w:r>
              <w:rPr>
                <w:rFonts w:ascii="Calibri" w:hAnsi="Calibri" w:eastAsia="Calibri"/>
                <w:b w:val="0"/>
                <w:sz w:val="16"/>
              </w:rPr>
              <w:t>The system generates the required modeling output content from canonical state, including rationale, confidence, and unresolved-item handling aligned to the output contract.</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derived output matches the controlled expectation for content and status, required ReviewFlag records are created, and the output preserves rationale, confidence, and unresolved-item behavior required by the SRS.</w:t>
            </w:r>
          </w:p>
        </w:tc>
      </w:tr>
    </w:tbl>
    <w:p>
      <w:pPr>
        <w:spacing w:after="80"/>
      </w:pPr>
    </w:p>
    <w:p>
      <w:pPr>
        <w:keepNext/>
        <w:spacing w:before="200" w:after="80"/>
      </w:pPr>
      <w:r>
        <w:rPr>
          <w:rFonts w:ascii="Aptos" w:hAnsi="Aptos" w:eastAsia="Aptos"/>
          <w:b/>
          <w:color w:val="1F4E79"/>
          <w:sz w:val="28"/>
        </w:rPr>
        <w:t>6.8 Functional Requirement Verification — Scenario Generation, Export, and Versioning</w:t>
      </w:r>
    </w:p>
    <w:p>
      <w:pPr>
        <w:spacing w:after="80"/>
      </w:pPr>
      <w:r>
        <w:rPr>
          <w:rFonts w:ascii="Aptos" w:hAnsi="Aptos" w:eastAsia="Aptos"/>
          <w:sz w:val="22"/>
        </w:rPr>
        <w:t>The following matrix provides requirement-level verification coverage for this requirement family.</w:t>
      </w:r>
    </w:p>
    <w:tbl>
      <w:tblPr>
        <w:tblStyle w:val="TableGrid"/>
        <w:tblW w:type="auto" w:w="0"/>
        <w:jc w:val="center"/>
        <w:tblLook w:firstColumn="1" w:firstRow="1" w:lastColumn="0" w:lastRow="0" w:noHBand="0" w:noVBand="1" w:val="04A0"/>
      </w:tblPr>
      <w:tblGrid>
        <w:gridCol w:w="2037"/>
        <w:gridCol w:w="2037"/>
        <w:gridCol w:w="2037"/>
        <w:gridCol w:w="2037"/>
        <w:gridCol w:w="2037"/>
        <w:gridCol w:w="2037"/>
        <w:gridCol w:w="2037"/>
      </w:tblGrid>
      <w:tr>
        <w:trPr>
          <w:tblHeader w:val="true"/>
        </w:trPr>
        <w:tc>
          <w:tcPr>
            <w:tcW w:type="dxa" w:w="1152"/>
            <w:vAlign w:val="center"/>
            <w:shd w:fill="1F4E78"/>
            <w:tcMar>
              <w:top w:w="90" w:type="dxa"/>
              <w:start w:w="90" w:type="dxa"/>
              <w:bottom w:w="90" w:type="dxa"/>
              <w:end w:w="90" w:type="dxa"/>
            </w:tcMar>
          </w:tcPr>
          <w:p>
            <w:pPr>
              <w:jc w:val="center"/>
            </w:pPr>
            <w:r>
              <w:rPr>
                <w:rFonts w:ascii="Calibri" w:hAnsi="Calibri" w:eastAsia="Calibri"/>
                <w:b/>
                <w:color w:val="FFFFFF"/>
                <w:sz w:val="17"/>
              </w:rPr>
              <w:t>Test Case</w:t>
            </w:r>
          </w:p>
        </w:tc>
        <w:tc>
          <w:tcPr>
            <w:tcW w:type="dxa" w:w="1339"/>
            <w:vAlign w:val="center"/>
            <w:shd w:fill="1F4E78"/>
            <w:tcMar>
              <w:top w:w="90" w:type="dxa"/>
              <w:start w:w="90" w:type="dxa"/>
              <w:bottom w:w="90" w:type="dxa"/>
              <w:end w:w="90" w:type="dxa"/>
            </w:tcMar>
          </w:tcPr>
          <w:p>
            <w:pPr>
              <w:jc w:val="center"/>
            </w:pPr>
            <w:r>
              <w:rPr>
                <w:rFonts w:ascii="Calibri" w:hAnsi="Calibri" w:eastAsia="Calibri"/>
                <w:b/>
                <w:color w:val="FFFFFF"/>
                <w:sz w:val="17"/>
              </w:rPr>
              <w:t>Requirement</w:t>
            </w:r>
          </w:p>
        </w:tc>
        <w:tc>
          <w:tcPr>
            <w:tcW w:type="dxa" w:w="2477"/>
            <w:vAlign w:val="center"/>
            <w:shd w:fill="1F4E78"/>
            <w:tcMar>
              <w:top w:w="90" w:type="dxa"/>
              <w:start w:w="90" w:type="dxa"/>
              <w:bottom w:w="90" w:type="dxa"/>
              <w:end w:w="90" w:type="dxa"/>
            </w:tcMar>
          </w:tcPr>
          <w:p>
            <w:pPr>
              <w:jc w:val="center"/>
            </w:pPr>
            <w:r>
              <w:rPr>
                <w:rFonts w:ascii="Calibri" w:hAnsi="Calibri" w:eastAsia="Calibri"/>
                <w:b/>
                <w:color w:val="FFFFFF"/>
                <w:sz w:val="17"/>
              </w:rPr>
              <w:t>Implementing Component(s)</w:t>
            </w:r>
          </w:p>
        </w:tc>
        <w:tc>
          <w:tcPr>
            <w:tcW w:type="dxa" w:w="2189"/>
            <w:vAlign w:val="center"/>
            <w:shd w:fill="1F4E78"/>
            <w:tcMar>
              <w:top w:w="90" w:type="dxa"/>
              <w:start w:w="90" w:type="dxa"/>
              <w:bottom w:w="90" w:type="dxa"/>
              <w:end w:w="90" w:type="dxa"/>
            </w:tcMar>
          </w:tcPr>
          <w:p>
            <w:pPr>
              <w:jc w:val="center"/>
            </w:pPr>
            <w:r>
              <w:rPr>
                <w:rFonts w:ascii="Calibri" w:hAnsi="Calibri" w:eastAsia="Calibri"/>
                <w:b/>
                <w:color w:val="FFFFFF"/>
                <w:sz w:val="17"/>
              </w:rPr>
              <w:t>Supporting Data Structures</w:t>
            </w:r>
          </w:p>
        </w:tc>
        <w:tc>
          <w:tcPr>
            <w:tcW w:type="dxa" w:w="1382"/>
            <w:vAlign w:val="center"/>
            <w:shd w:fill="1F4E78"/>
            <w:tcMar>
              <w:top w:w="90" w:type="dxa"/>
              <w:start w:w="90" w:type="dxa"/>
              <w:bottom w:w="90" w:type="dxa"/>
              <w:end w:w="90" w:type="dxa"/>
            </w:tcMar>
          </w:tcPr>
          <w:p>
            <w:pPr>
              <w:jc w:val="center"/>
            </w:pPr>
            <w:r>
              <w:rPr>
                <w:rFonts w:ascii="Calibri" w:hAnsi="Calibri" w:eastAsia="Calibri"/>
                <w:b/>
                <w:color w:val="FFFFFF"/>
                <w:sz w:val="17"/>
              </w:rPr>
              <w:t>Method</w:t>
            </w:r>
          </w:p>
        </w:tc>
        <w:tc>
          <w:tcPr>
            <w:tcW w:type="dxa" w:w="3672"/>
            <w:vAlign w:val="center"/>
            <w:shd w:fill="1F4E78"/>
            <w:tcMar>
              <w:top w:w="90" w:type="dxa"/>
              <w:start w:w="90" w:type="dxa"/>
              <w:bottom w:w="90" w:type="dxa"/>
              <w:end w:w="90" w:type="dxa"/>
            </w:tcMar>
          </w:tcPr>
          <w:p>
            <w:pPr>
              <w:jc w:val="center"/>
            </w:pPr>
            <w:r>
              <w:rPr>
                <w:rFonts w:ascii="Calibri" w:hAnsi="Calibri" w:eastAsia="Calibri"/>
                <w:b/>
                <w:color w:val="FFFFFF"/>
                <w:sz w:val="17"/>
              </w:rPr>
              <w:t>Requirement Statement</w:t>
            </w:r>
          </w:p>
        </w:tc>
        <w:tc>
          <w:tcPr>
            <w:tcW w:type="dxa" w:w="4104"/>
            <w:vAlign w:val="center"/>
            <w:shd w:fill="1F4E78"/>
            <w:tcMar>
              <w:top w:w="90" w:type="dxa"/>
              <w:start w:w="90" w:type="dxa"/>
              <w:bottom w:w="90" w:type="dxa"/>
              <w:end w:w="90" w:type="dxa"/>
            </w:tcMar>
          </w:tcPr>
          <w:p>
            <w:pPr>
              <w:jc w:val="center"/>
            </w:pPr>
            <w:r>
              <w:rPr>
                <w:rFonts w:ascii="Calibri" w:hAnsi="Calibri" w:eastAsia="Calibri"/>
                <w:b/>
                <w:color w:val="FFFFFF"/>
                <w:sz w:val="17"/>
              </w:rPr>
              <w:t>Verification Detail</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TC-FR-SCN-01</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FR-SCN-01</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Scenario Generation Service</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ScenarioSet</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The system shall generate multiple modeling scenarios such as Typical, Conservative, and Best-case, with explicit bounds and rationale.</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Validated parameter set with bounded scenario inputs covering build-out phase, redundancy state, cooling demand, and ramp behavior.</w:t>
            </w:r>
          </w:p>
          <w:p>
            <w:pPr>
              <w:spacing w:after="20" w:line="240" w:lineRule="auto"/>
            </w:pPr>
            <w:r>
              <w:rPr>
                <w:rFonts w:ascii="Calibri" w:hAnsi="Calibri" w:eastAsia="Calibri"/>
                <w:b/>
                <w:sz w:val="16"/>
              </w:rPr>
              <w:t xml:space="preserve">Procedure: </w:t>
            </w:r>
            <w:r>
              <w:rPr>
                <w:rFonts w:ascii="Calibri" w:hAnsi="Calibri" w:eastAsia="Calibri"/>
                <w:b w:val="0"/>
                <w:sz w:val="16"/>
              </w:rPr>
              <w:t>Execute the Scenario Generation Service using the bounded scenario fixture and verify scenario generation. Inspect scenario-set creation, scenario-specific overrides, rationale capture, and preservation of supporting lineage.</w:t>
            </w:r>
          </w:p>
          <w:p>
            <w:pPr>
              <w:spacing w:after="20" w:line="240" w:lineRule="auto"/>
            </w:pPr>
            <w:r>
              <w:rPr>
                <w:rFonts w:ascii="Calibri" w:hAnsi="Calibri" w:eastAsia="Calibri"/>
                <w:b/>
                <w:sz w:val="16"/>
              </w:rPr>
              <w:t xml:space="preserve">Expected outcome: </w:t>
            </w:r>
            <w:r>
              <w:rPr>
                <w:rFonts w:ascii="Calibri" w:hAnsi="Calibri" w:eastAsia="Calibri"/>
                <w:b w:val="0"/>
                <w:sz w:val="16"/>
              </w:rPr>
              <w:t>The system generates bounded scenario records with scenario-specific changes, rationale, and preserved linkage to the base parameter set.</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expected scenario records are created, the tested scenario change is applied only to the intended parameters, supporting rationale is recorded, and lineage to the base parameter set remains intact.</w:t>
            </w:r>
          </w:p>
        </w:tc>
      </w:tr>
      <w:tr>
        <w:trPr>
          <w:cantSplit/>
        </w:trPr>
        <w:tc>
          <w:tcPr>
            <w:tcW w:type="dxa" w:w="1152"/>
            <w:vAlign w:val="center"/>
            <w:tcMar>
              <w:top w:w="80" w:type="dxa"/>
              <w:start w:w="85" w:type="dxa"/>
              <w:bottom w:w="80" w:type="dxa"/>
              <w:end w:w="85" w:type="dxa"/>
            </w:tcMar>
            <w:shd w:fill="F7FBFF"/>
          </w:tcPr>
          <w:p>
            <w:pPr>
              <w:spacing w:after="40" w:line="240" w:lineRule="auto"/>
            </w:pPr>
            <w:r>
              <w:rPr>
                <w:rFonts w:ascii="Calibri" w:hAnsi="Calibri" w:eastAsia="Calibri"/>
                <w:b/>
                <w:sz w:val="16"/>
              </w:rPr>
              <w:t>TC-FR-SCN-02</w:t>
            </w:r>
          </w:p>
        </w:tc>
        <w:tc>
          <w:tcPr>
            <w:tcW w:type="dxa" w:w="1339"/>
            <w:vAlign w:val="center"/>
            <w:tcMar>
              <w:top w:w="80" w:type="dxa"/>
              <w:start w:w="85" w:type="dxa"/>
              <w:bottom w:w="80" w:type="dxa"/>
              <w:end w:w="85" w:type="dxa"/>
            </w:tcMar>
            <w:shd w:fill="F7FBFF"/>
          </w:tcPr>
          <w:p>
            <w:pPr>
              <w:spacing w:after="40" w:line="240" w:lineRule="auto"/>
            </w:pPr>
            <w:r>
              <w:rPr>
                <w:rFonts w:ascii="Calibri" w:hAnsi="Calibri" w:eastAsia="Calibri"/>
                <w:b/>
                <w:sz w:val="16"/>
              </w:rPr>
              <w:t>FR-SCN-02</w:t>
            </w:r>
          </w:p>
        </w:tc>
        <w:tc>
          <w:tcPr>
            <w:tcW w:type="dxa" w:w="2477"/>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Scenario Generation Service</w:t>
            </w:r>
          </w:p>
        </w:tc>
        <w:tc>
          <w:tcPr>
            <w:tcW w:type="dxa" w:w="2189"/>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ScenarioVariant</w:t>
            </w:r>
          </w:p>
        </w:tc>
        <w:tc>
          <w:tcPr>
            <w:tcW w:type="dxa" w:w="138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The system shall support scenario variation based on build-out phase, equipment redundancy state, cooling demand condition, operating assumption, and ramping behavior where relevant.</w:t>
            </w:r>
          </w:p>
        </w:tc>
        <w:tc>
          <w:tcPr>
            <w:tcW w:type="dxa" w:w="4104"/>
            <w:vAlign w:val="center"/>
            <w:tcMar>
              <w:top w:w="80" w:type="dxa"/>
              <w:start w:w="85" w:type="dxa"/>
              <w:bottom w:w="80" w:type="dxa"/>
              <w:end w:w="85" w:type="dxa"/>
            </w:tcMar>
            <w:shd w:fill="F7FBFF"/>
            <w:shd w:fill="F7FBFF"/>
          </w:tcPr>
          <w:p>
            <w:pPr>
              <w:spacing w:after="20" w:line="240" w:lineRule="auto"/>
            </w:pPr>
            <w:r/>
            <w:r>
              <w:rPr>
                <w:rFonts w:ascii="Calibri" w:hAnsi="Calibri" w:eastAsia="Calibri"/>
                <w:b/>
                <w:sz w:val="16"/>
              </w:rPr>
              <w:t xml:space="preserve">Test data: </w:t>
            </w:r>
            <w:r>
              <w:rPr>
                <w:rFonts w:ascii="Calibri" w:hAnsi="Calibri" w:eastAsia="Calibri"/>
                <w:b w:val="0"/>
                <w:sz w:val="16"/>
              </w:rPr>
              <w:t>Validated parameter set with bounded scenario inputs covering build-out phase, redundancy state, cooling demand, and ramp behavior.</w:t>
            </w:r>
          </w:p>
          <w:p>
            <w:pPr>
              <w:spacing w:after="20" w:line="240" w:lineRule="auto"/>
            </w:pPr>
            <w:r>
              <w:rPr>
                <w:rFonts w:ascii="Calibri" w:hAnsi="Calibri" w:eastAsia="Calibri"/>
                <w:b/>
                <w:sz w:val="16"/>
              </w:rPr>
              <w:t xml:space="preserve">Procedure: </w:t>
            </w:r>
            <w:r>
              <w:rPr>
                <w:rFonts w:ascii="Calibri" w:hAnsi="Calibri" w:eastAsia="Calibri"/>
                <w:b w:val="0"/>
                <w:sz w:val="16"/>
              </w:rPr>
              <w:t>Execute the Scenario Generation Service using the bounded scenario fixture and verify scenario parameter overrides. Inspect scenario-set creation, scenario-specific overrides, rationale capture, and preservation of supporting lineage.</w:t>
            </w:r>
          </w:p>
          <w:p>
            <w:pPr>
              <w:spacing w:after="20" w:line="240" w:lineRule="auto"/>
            </w:pPr>
            <w:r>
              <w:rPr>
                <w:rFonts w:ascii="Calibri" w:hAnsi="Calibri" w:eastAsia="Calibri"/>
                <w:b/>
                <w:sz w:val="16"/>
              </w:rPr>
              <w:t xml:space="preserve">Expected outcome: </w:t>
            </w:r>
            <w:r>
              <w:rPr>
                <w:rFonts w:ascii="Calibri" w:hAnsi="Calibri" w:eastAsia="Calibri"/>
                <w:b w:val="0"/>
                <w:sz w:val="16"/>
              </w:rPr>
              <w:t>The system generates bounded scenario records with scenario-specific changes, rationale, and preserved linkage to the base parameter set.</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expected scenario records are created, the tested scenario change is applied only to the intended parameters, supporting rationale is recorded, and lineage to the base parameter set remains intact.</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TC-FR-EXP-01</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FR-EXP-01</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Export and Versioning Service</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ExportManifest</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Integration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The system shall support export formats including structured JSON outputs and a human-readable Word or PDF packet.</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Completed translation output package and scenario set prepared for structured and human-readable export generation.</w:t>
            </w:r>
          </w:p>
          <w:p>
            <w:pPr>
              <w:spacing w:after="20" w:line="240" w:lineRule="auto"/>
            </w:pPr>
            <w:r>
              <w:rPr>
                <w:rFonts w:ascii="Calibri" w:hAnsi="Calibri" w:eastAsia="Calibri"/>
                <w:b/>
                <w:sz w:val="16"/>
              </w:rPr>
              <w:t xml:space="preserve">Procedure: </w:t>
            </w:r>
            <w:r>
              <w:rPr>
                <w:rFonts w:ascii="Calibri" w:hAnsi="Calibri" w:eastAsia="Calibri"/>
                <w:b w:val="0"/>
                <w:sz w:val="16"/>
              </w:rPr>
              <w:t>Run the Export and Versioning Service using the completed output package and verify export artifacts. Inspect structured and human-readable exports, export manifests, stored artifacts, and preservation of provenance and unresolved-item content.</w:t>
            </w:r>
          </w:p>
          <w:p>
            <w:pPr>
              <w:spacing w:after="20" w:line="240" w:lineRule="auto"/>
            </w:pPr>
            <w:r>
              <w:rPr>
                <w:rFonts w:ascii="Calibri" w:hAnsi="Calibri" w:eastAsia="Calibri"/>
                <w:b/>
                <w:sz w:val="16"/>
              </w:rPr>
              <w:t xml:space="preserve">Expected outcome: </w:t>
            </w:r>
            <w:r>
              <w:rPr>
                <w:rFonts w:ascii="Calibri" w:hAnsi="Calibri" w:eastAsia="Calibri"/>
                <w:b w:val="0"/>
                <w:sz w:val="16"/>
              </w:rPr>
              <w:t>The system publishes the required export artifacts and manifests while preserving parameter content, provenance content, and unresolved-item disclosures.</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expected export artifact set is generated, required ExportManifest records exist, exported content includes the required parameters and disclosures, and stored files are retrievable from the controlled location.</w:t>
            </w:r>
          </w:p>
        </w:tc>
      </w:tr>
      <w:tr>
        <w:trPr>
          <w:cantSplit/>
        </w:trPr>
        <w:tc>
          <w:tcPr>
            <w:tcW w:type="dxa" w:w="1152"/>
            <w:vAlign w:val="center"/>
            <w:tcMar>
              <w:top w:w="80" w:type="dxa"/>
              <w:start w:w="85" w:type="dxa"/>
              <w:bottom w:w="80" w:type="dxa"/>
              <w:end w:w="85" w:type="dxa"/>
            </w:tcMar>
            <w:shd w:fill="F7FBFF"/>
          </w:tcPr>
          <w:p>
            <w:pPr>
              <w:spacing w:after="40" w:line="240" w:lineRule="auto"/>
            </w:pPr>
            <w:r>
              <w:rPr>
                <w:rFonts w:ascii="Calibri" w:hAnsi="Calibri" w:eastAsia="Calibri"/>
                <w:b/>
                <w:sz w:val="16"/>
              </w:rPr>
              <w:t>TC-FR-EXP-02</w:t>
            </w:r>
          </w:p>
        </w:tc>
        <w:tc>
          <w:tcPr>
            <w:tcW w:type="dxa" w:w="1339"/>
            <w:vAlign w:val="center"/>
            <w:tcMar>
              <w:top w:w="80" w:type="dxa"/>
              <w:start w:w="85" w:type="dxa"/>
              <w:bottom w:w="80" w:type="dxa"/>
              <w:end w:w="85" w:type="dxa"/>
            </w:tcMar>
            <w:shd w:fill="F7FBFF"/>
          </w:tcPr>
          <w:p>
            <w:pPr>
              <w:spacing w:after="40" w:line="240" w:lineRule="auto"/>
            </w:pPr>
            <w:r>
              <w:rPr>
                <w:rFonts w:ascii="Calibri" w:hAnsi="Calibri" w:eastAsia="Calibri"/>
                <w:b/>
                <w:sz w:val="16"/>
              </w:rPr>
              <w:t>FR-EXP-02</w:t>
            </w:r>
          </w:p>
        </w:tc>
        <w:tc>
          <w:tcPr>
            <w:tcW w:type="dxa" w:w="2477"/>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Export and Versioning Service</w:t>
            </w:r>
          </w:p>
        </w:tc>
        <w:tc>
          <w:tcPr>
            <w:tcW w:type="dxa" w:w="2189"/>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ExportArtifact</w:t>
            </w:r>
          </w:p>
        </w:tc>
        <w:tc>
          <w:tcPr>
            <w:tcW w:type="dxa" w:w="138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The exported modeling packet shall include parameters, assumptions, confidence tags, provenance references, unresolved gaps, and review-required conflicts.</w:t>
            </w:r>
          </w:p>
        </w:tc>
        <w:tc>
          <w:tcPr>
            <w:tcW w:type="dxa" w:w="4104"/>
            <w:vAlign w:val="center"/>
            <w:tcMar>
              <w:top w:w="80" w:type="dxa"/>
              <w:start w:w="85" w:type="dxa"/>
              <w:bottom w:w="80" w:type="dxa"/>
              <w:end w:w="85" w:type="dxa"/>
            </w:tcMar>
            <w:shd w:fill="F7FBFF"/>
            <w:shd w:fill="F7FBFF"/>
          </w:tcPr>
          <w:p>
            <w:pPr>
              <w:spacing w:after="20" w:line="240" w:lineRule="auto"/>
            </w:pPr>
            <w:r/>
            <w:r>
              <w:rPr>
                <w:rFonts w:ascii="Calibri" w:hAnsi="Calibri" w:eastAsia="Calibri"/>
                <w:b/>
                <w:sz w:val="16"/>
              </w:rPr>
              <w:t xml:space="preserve">Test data: </w:t>
            </w:r>
            <w:r>
              <w:rPr>
                <w:rFonts w:ascii="Calibri" w:hAnsi="Calibri" w:eastAsia="Calibri"/>
                <w:b w:val="0"/>
                <w:sz w:val="16"/>
              </w:rPr>
              <w:t>Completed translation output package and scenario set prepared for structured and human-readable export generation.</w:t>
            </w:r>
          </w:p>
          <w:p>
            <w:pPr>
              <w:spacing w:after="20" w:line="240" w:lineRule="auto"/>
            </w:pPr>
            <w:r>
              <w:rPr>
                <w:rFonts w:ascii="Calibri" w:hAnsi="Calibri" w:eastAsia="Calibri"/>
                <w:b/>
                <w:sz w:val="16"/>
              </w:rPr>
              <w:t xml:space="preserve">Procedure: </w:t>
            </w:r>
            <w:r>
              <w:rPr>
                <w:rFonts w:ascii="Calibri" w:hAnsi="Calibri" w:eastAsia="Calibri"/>
                <w:b w:val="0"/>
                <w:sz w:val="16"/>
              </w:rPr>
              <w:t>Run the Export and Versioning Service using the completed output package and verify export contents. Inspect structured and human-readable exports, export manifests, stored artifacts, and preservation of provenance and unresolved-item content.</w:t>
            </w:r>
          </w:p>
          <w:p>
            <w:pPr>
              <w:spacing w:after="20" w:line="240" w:lineRule="auto"/>
            </w:pPr>
            <w:r>
              <w:rPr>
                <w:rFonts w:ascii="Calibri" w:hAnsi="Calibri" w:eastAsia="Calibri"/>
                <w:b/>
                <w:sz w:val="16"/>
              </w:rPr>
              <w:t xml:space="preserve">Expected outcome: </w:t>
            </w:r>
            <w:r>
              <w:rPr>
                <w:rFonts w:ascii="Calibri" w:hAnsi="Calibri" w:eastAsia="Calibri"/>
                <w:b w:val="0"/>
                <w:sz w:val="16"/>
              </w:rPr>
              <w:t>The system publishes the required export artifacts and manifests while preserving parameter content, provenance content, and unresolved-item disclosures.</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expected export artifact set is generated, required ExportArtifact records exist, exported content includes the required parameters and disclosures, and stored files are retrievable from the controlled location.</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TC-FR-VER-01</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FR-VER-01</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Export and Versioning Service</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Run, RunDiff</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The system shall support rerun and versioning so that updated inputs generate a new version label and a changelog of parameter differences.</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Baseline run and controlled changed-input run with pinned configuration and lineage capture enabled.</w:t>
            </w:r>
          </w:p>
          <w:p>
            <w:pPr>
              <w:spacing w:after="20" w:line="240" w:lineRule="auto"/>
            </w:pPr>
            <w:r>
              <w:rPr>
                <w:rFonts w:ascii="Calibri" w:hAnsi="Calibri" w:eastAsia="Calibri"/>
                <w:b/>
                <w:sz w:val="16"/>
              </w:rPr>
              <w:t xml:space="preserve">Procedure: </w:t>
            </w:r>
            <w:r>
              <w:rPr>
                <w:rFonts w:ascii="Calibri" w:hAnsi="Calibri" w:eastAsia="Calibri"/>
                <w:b w:val="0"/>
                <w:sz w:val="16"/>
              </w:rPr>
              <w:t>Execute the baseline run and the controlled changed-input rerun, then verify version history and diffs. Inspect version labels, run lineage, canonical snapshot linkage, and generated run-difference records.</w:t>
            </w:r>
          </w:p>
          <w:p>
            <w:pPr>
              <w:spacing w:after="20" w:line="240" w:lineRule="auto"/>
            </w:pPr>
            <w:r>
              <w:rPr>
                <w:rFonts w:ascii="Calibri" w:hAnsi="Calibri" w:eastAsia="Calibri"/>
                <w:b/>
                <w:sz w:val="16"/>
              </w:rPr>
              <w:t xml:space="preserve">Expected outcome: </w:t>
            </w:r>
            <w:r>
              <w:rPr>
                <w:rFonts w:ascii="Calibri" w:hAnsi="Calibri" w:eastAsia="Calibri"/>
                <w:b w:val="0"/>
                <w:sz w:val="16"/>
              </w:rPr>
              <w:t>The rerun produces a new versioned run with preserved lineage and an explicit difference record between the compared runs.</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rerun generates a new run/version identity, required Run, RunDiff records exist, the difference record correctly identifies the controlled change, and prior lineage remains intact.</w:t>
            </w:r>
          </w:p>
        </w:tc>
      </w:tr>
    </w:tbl>
    <w:p>
      <w:pPr>
        <w:spacing w:after="80"/>
      </w:pPr>
    </w:p>
    <w:p>
      <w:pPr>
        <w:keepNext/>
        <w:spacing w:before="200" w:after="80"/>
      </w:pPr>
      <w:r>
        <w:rPr>
          <w:rFonts w:ascii="Aptos" w:hAnsi="Aptos" w:eastAsia="Aptos"/>
          <w:b/>
          <w:color w:val="1F4E79"/>
          <w:sz w:val="28"/>
        </w:rPr>
        <w:t>6.9 Functional Requirement Verification — Validation and Calibration Workflow</w:t>
      </w:r>
    </w:p>
    <w:p>
      <w:pPr>
        <w:spacing w:after="80"/>
      </w:pPr>
      <w:r>
        <w:rPr>
          <w:rFonts w:ascii="Aptos" w:hAnsi="Aptos" w:eastAsia="Aptos"/>
          <w:sz w:val="22"/>
        </w:rPr>
        <w:t>The following matrix provides requirement-level verification coverage for this requirement family.</w:t>
      </w:r>
    </w:p>
    <w:tbl>
      <w:tblPr>
        <w:tblStyle w:val="TableGrid"/>
        <w:tblW w:type="auto" w:w="0"/>
        <w:jc w:val="center"/>
        <w:tblLook w:firstColumn="1" w:firstRow="1" w:lastColumn="0" w:lastRow="0" w:noHBand="0" w:noVBand="1" w:val="04A0"/>
      </w:tblPr>
      <w:tblGrid>
        <w:gridCol w:w="2037"/>
        <w:gridCol w:w="2037"/>
        <w:gridCol w:w="2037"/>
        <w:gridCol w:w="2037"/>
        <w:gridCol w:w="2037"/>
        <w:gridCol w:w="2037"/>
        <w:gridCol w:w="2037"/>
      </w:tblGrid>
      <w:tr>
        <w:trPr>
          <w:tblHeader w:val="true"/>
        </w:trPr>
        <w:tc>
          <w:tcPr>
            <w:tcW w:type="dxa" w:w="1152"/>
            <w:vAlign w:val="center"/>
            <w:shd w:fill="1F4E78"/>
            <w:tcMar>
              <w:top w:w="90" w:type="dxa"/>
              <w:start w:w="90" w:type="dxa"/>
              <w:bottom w:w="90" w:type="dxa"/>
              <w:end w:w="90" w:type="dxa"/>
            </w:tcMar>
          </w:tcPr>
          <w:p>
            <w:pPr>
              <w:jc w:val="center"/>
            </w:pPr>
            <w:r>
              <w:rPr>
                <w:rFonts w:ascii="Calibri" w:hAnsi="Calibri" w:eastAsia="Calibri"/>
                <w:b/>
                <w:color w:val="FFFFFF"/>
                <w:sz w:val="17"/>
              </w:rPr>
              <w:t>Test Case</w:t>
            </w:r>
          </w:p>
        </w:tc>
        <w:tc>
          <w:tcPr>
            <w:tcW w:type="dxa" w:w="1339"/>
            <w:vAlign w:val="center"/>
            <w:shd w:fill="1F4E78"/>
            <w:tcMar>
              <w:top w:w="90" w:type="dxa"/>
              <w:start w:w="90" w:type="dxa"/>
              <w:bottom w:w="90" w:type="dxa"/>
              <w:end w:w="90" w:type="dxa"/>
            </w:tcMar>
          </w:tcPr>
          <w:p>
            <w:pPr>
              <w:jc w:val="center"/>
            </w:pPr>
            <w:r>
              <w:rPr>
                <w:rFonts w:ascii="Calibri" w:hAnsi="Calibri" w:eastAsia="Calibri"/>
                <w:b/>
                <w:color w:val="FFFFFF"/>
                <w:sz w:val="17"/>
              </w:rPr>
              <w:t>Requirement</w:t>
            </w:r>
          </w:p>
        </w:tc>
        <w:tc>
          <w:tcPr>
            <w:tcW w:type="dxa" w:w="2477"/>
            <w:vAlign w:val="center"/>
            <w:shd w:fill="1F4E78"/>
            <w:tcMar>
              <w:top w:w="90" w:type="dxa"/>
              <w:start w:w="90" w:type="dxa"/>
              <w:bottom w:w="90" w:type="dxa"/>
              <w:end w:w="90" w:type="dxa"/>
            </w:tcMar>
          </w:tcPr>
          <w:p>
            <w:pPr>
              <w:jc w:val="center"/>
            </w:pPr>
            <w:r>
              <w:rPr>
                <w:rFonts w:ascii="Calibri" w:hAnsi="Calibri" w:eastAsia="Calibri"/>
                <w:b/>
                <w:color w:val="FFFFFF"/>
                <w:sz w:val="17"/>
              </w:rPr>
              <w:t>Implementing Component(s)</w:t>
            </w:r>
          </w:p>
        </w:tc>
        <w:tc>
          <w:tcPr>
            <w:tcW w:type="dxa" w:w="2189"/>
            <w:vAlign w:val="center"/>
            <w:shd w:fill="1F4E78"/>
            <w:tcMar>
              <w:top w:w="90" w:type="dxa"/>
              <w:start w:w="90" w:type="dxa"/>
              <w:bottom w:w="90" w:type="dxa"/>
              <w:end w:w="90" w:type="dxa"/>
            </w:tcMar>
          </w:tcPr>
          <w:p>
            <w:pPr>
              <w:jc w:val="center"/>
            </w:pPr>
            <w:r>
              <w:rPr>
                <w:rFonts w:ascii="Calibri" w:hAnsi="Calibri" w:eastAsia="Calibri"/>
                <w:b/>
                <w:color w:val="FFFFFF"/>
                <w:sz w:val="17"/>
              </w:rPr>
              <w:t>Supporting Data Structures</w:t>
            </w:r>
          </w:p>
        </w:tc>
        <w:tc>
          <w:tcPr>
            <w:tcW w:type="dxa" w:w="1382"/>
            <w:vAlign w:val="center"/>
            <w:shd w:fill="1F4E78"/>
            <w:tcMar>
              <w:top w:w="90" w:type="dxa"/>
              <w:start w:w="90" w:type="dxa"/>
              <w:bottom w:w="90" w:type="dxa"/>
              <w:end w:w="90" w:type="dxa"/>
            </w:tcMar>
          </w:tcPr>
          <w:p>
            <w:pPr>
              <w:jc w:val="center"/>
            </w:pPr>
            <w:r>
              <w:rPr>
                <w:rFonts w:ascii="Calibri" w:hAnsi="Calibri" w:eastAsia="Calibri"/>
                <w:b/>
                <w:color w:val="FFFFFF"/>
                <w:sz w:val="17"/>
              </w:rPr>
              <w:t>Method</w:t>
            </w:r>
          </w:p>
        </w:tc>
        <w:tc>
          <w:tcPr>
            <w:tcW w:type="dxa" w:w="3672"/>
            <w:vAlign w:val="center"/>
            <w:shd w:fill="1F4E78"/>
            <w:tcMar>
              <w:top w:w="90" w:type="dxa"/>
              <w:start w:w="90" w:type="dxa"/>
              <w:bottom w:w="90" w:type="dxa"/>
              <w:end w:w="90" w:type="dxa"/>
            </w:tcMar>
          </w:tcPr>
          <w:p>
            <w:pPr>
              <w:jc w:val="center"/>
            </w:pPr>
            <w:r>
              <w:rPr>
                <w:rFonts w:ascii="Calibri" w:hAnsi="Calibri" w:eastAsia="Calibri"/>
                <w:b/>
                <w:color w:val="FFFFFF"/>
                <w:sz w:val="17"/>
              </w:rPr>
              <w:t>Requirement Statement</w:t>
            </w:r>
          </w:p>
        </w:tc>
        <w:tc>
          <w:tcPr>
            <w:tcW w:type="dxa" w:w="4104"/>
            <w:vAlign w:val="center"/>
            <w:shd w:fill="1F4E78"/>
            <w:tcMar>
              <w:top w:w="90" w:type="dxa"/>
              <w:start w:w="90" w:type="dxa"/>
              <w:bottom w:w="90" w:type="dxa"/>
              <w:end w:w="90" w:type="dxa"/>
            </w:tcMar>
          </w:tcPr>
          <w:p>
            <w:pPr>
              <w:jc w:val="center"/>
            </w:pPr>
            <w:r>
              <w:rPr>
                <w:rFonts w:ascii="Calibri" w:hAnsi="Calibri" w:eastAsia="Calibri"/>
                <w:b/>
                <w:color w:val="FFFFFF"/>
                <w:sz w:val="17"/>
              </w:rPr>
              <w:t>Verification Detail</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TC-FR-VAL-01</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FR-VAL-01</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Validation and Calibration Service</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ValidationReport</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The system shall support an optional validation workflow in which commissioning results, telemetry, or later engineering evidence can update model parameters and reduce uncertainty.</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Commissioning, telemetry, or superseding engineering evidence fixture linked to a prior validated run.</w:t>
            </w:r>
          </w:p>
          <w:p>
            <w:pPr>
              <w:spacing w:after="20" w:line="240" w:lineRule="auto"/>
            </w:pPr>
            <w:r>
              <w:rPr>
                <w:rFonts w:ascii="Calibri" w:hAnsi="Calibri" w:eastAsia="Calibri"/>
                <w:b/>
                <w:sz w:val="16"/>
              </w:rPr>
              <w:t xml:space="preserve">Procedure: </w:t>
            </w:r>
            <w:r>
              <w:rPr>
                <w:rFonts w:ascii="Calibri" w:hAnsi="Calibri" w:eastAsia="Calibri"/>
                <w:b w:val="0"/>
                <w:sz w:val="16"/>
              </w:rPr>
              <w:t>Apply the controlled validation or calibration evidence through the Validation and Calibration Service and verify validation workflow. Inspect review flow, preserved prior state, superseded values, and regenerated downstream outputs where applicable.</w:t>
            </w:r>
          </w:p>
          <w:p>
            <w:pPr>
              <w:spacing w:after="20" w:line="240" w:lineRule="auto"/>
            </w:pPr>
            <w:r>
              <w:rPr>
                <w:rFonts w:ascii="Calibri" w:hAnsi="Calibri" w:eastAsia="Calibri"/>
                <w:b/>
                <w:sz w:val="16"/>
              </w:rPr>
              <w:t xml:space="preserve">Expected outcome: </w:t>
            </w:r>
            <w:r>
              <w:rPr>
                <w:rFonts w:ascii="Calibri" w:hAnsi="Calibri" w:eastAsia="Calibri"/>
                <w:b w:val="0"/>
                <w:sz w:val="16"/>
              </w:rPr>
              <w:t>The validation workflow preserves prior history, records the new validation or calibration action, and supports governed review before publication.</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validation or calibration action is recorded, required ValidationReport and review records are present, prior assumptions or superseded values remain auditable, and downstream outputs update only where the test fixture requires.</w:t>
            </w:r>
          </w:p>
        </w:tc>
      </w:tr>
      <w:tr>
        <w:trPr>
          <w:cantSplit/>
        </w:trPr>
        <w:tc>
          <w:tcPr>
            <w:tcW w:type="dxa" w:w="1152"/>
            <w:vAlign w:val="center"/>
            <w:tcMar>
              <w:top w:w="80" w:type="dxa"/>
              <w:start w:w="85" w:type="dxa"/>
              <w:bottom w:w="80" w:type="dxa"/>
              <w:end w:w="85" w:type="dxa"/>
            </w:tcMar>
            <w:shd w:fill="F7FBFF"/>
          </w:tcPr>
          <w:p>
            <w:pPr>
              <w:spacing w:after="40" w:line="240" w:lineRule="auto"/>
            </w:pPr>
            <w:r>
              <w:rPr>
                <w:rFonts w:ascii="Calibri" w:hAnsi="Calibri" w:eastAsia="Calibri"/>
                <w:b/>
                <w:sz w:val="16"/>
              </w:rPr>
              <w:t>TC-FR-VAL-02</w:t>
            </w:r>
          </w:p>
        </w:tc>
        <w:tc>
          <w:tcPr>
            <w:tcW w:type="dxa" w:w="1339"/>
            <w:vAlign w:val="center"/>
            <w:tcMar>
              <w:top w:w="80" w:type="dxa"/>
              <w:start w:w="85" w:type="dxa"/>
              <w:bottom w:w="80" w:type="dxa"/>
              <w:end w:w="85" w:type="dxa"/>
            </w:tcMar>
            <w:shd w:fill="F7FBFF"/>
          </w:tcPr>
          <w:p>
            <w:pPr>
              <w:spacing w:after="40" w:line="240" w:lineRule="auto"/>
            </w:pPr>
            <w:r>
              <w:rPr>
                <w:rFonts w:ascii="Calibri" w:hAnsi="Calibri" w:eastAsia="Calibri"/>
                <w:b/>
                <w:sz w:val="16"/>
              </w:rPr>
              <w:t>FR-VAL-02</w:t>
            </w:r>
          </w:p>
        </w:tc>
        <w:tc>
          <w:tcPr>
            <w:tcW w:type="dxa" w:w="2477"/>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Validation and Calibration Service</w:t>
            </w:r>
          </w:p>
        </w:tc>
        <w:tc>
          <w:tcPr>
            <w:tcW w:type="dxa" w:w="2189"/>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CalibrationUpdate</w:t>
            </w:r>
          </w:p>
        </w:tc>
        <w:tc>
          <w:tcPr>
            <w:tcW w:type="dxa" w:w="138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The validation workflow shall preserve version history, auditability, prior assumptions, and superseded values.</w:t>
            </w:r>
          </w:p>
        </w:tc>
        <w:tc>
          <w:tcPr>
            <w:tcW w:type="dxa" w:w="4104"/>
            <w:vAlign w:val="center"/>
            <w:tcMar>
              <w:top w:w="80" w:type="dxa"/>
              <w:start w:w="85" w:type="dxa"/>
              <w:bottom w:w="80" w:type="dxa"/>
              <w:end w:w="85" w:type="dxa"/>
            </w:tcMar>
            <w:shd w:fill="F7FBFF"/>
            <w:shd w:fill="F7FBFF"/>
          </w:tcPr>
          <w:p>
            <w:pPr>
              <w:spacing w:after="20" w:line="240" w:lineRule="auto"/>
            </w:pPr>
            <w:r/>
            <w:r>
              <w:rPr>
                <w:rFonts w:ascii="Calibri" w:hAnsi="Calibri" w:eastAsia="Calibri"/>
                <w:b/>
                <w:sz w:val="16"/>
              </w:rPr>
              <w:t xml:space="preserve">Test data: </w:t>
            </w:r>
            <w:r>
              <w:rPr>
                <w:rFonts w:ascii="Calibri" w:hAnsi="Calibri" w:eastAsia="Calibri"/>
                <w:b w:val="0"/>
                <w:sz w:val="16"/>
              </w:rPr>
              <w:t>Commissioning, telemetry, or superseding engineering evidence fixture linked to a prior validated run.</w:t>
            </w:r>
          </w:p>
          <w:p>
            <w:pPr>
              <w:spacing w:after="20" w:line="240" w:lineRule="auto"/>
            </w:pPr>
            <w:r>
              <w:rPr>
                <w:rFonts w:ascii="Calibri" w:hAnsi="Calibri" w:eastAsia="Calibri"/>
                <w:b/>
                <w:sz w:val="16"/>
              </w:rPr>
              <w:t xml:space="preserve">Procedure: </w:t>
            </w:r>
            <w:r>
              <w:rPr>
                <w:rFonts w:ascii="Calibri" w:hAnsi="Calibri" w:eastAsia="Calibri"/>
                <w:b w:val="0"/>
                <w:sz w:val="16"/>
              </w:rPr>
              <w:t>Apply the controlled validation or calibration evidence through the Validation and Calibration Service and verify version preservation. Inspect review flow, preserved prior state, superseded values, and regenerated downstream outputs where applicable.</w:t>
            </w:r>
          </w:p>
          <w:p>
            <w:pPr>
              <w:spacing w:after="20" w:line="240" w:lineRule="auto"/>
            </w:pPr>
            <w:r>
              <w:rPr>
                <w:rFonts w:ascii="Calibri" w:hAnsi="Calibri" w:eastAsia="Calibri"/>
                <w:b/>
                <w:sz w:val="16"/>
              </w:rPr>
              <w:t xml:space="preserve">Expected outcome: </w:t>
            </w:r>
            <w:r>
              <w:rPr>
                <w:rFonts w:ascii="Calibri" w:hAnsi="Calibri" w:eastAsia="Calibri"/>
                <w:b w:val="0"/>
                <w:sz w:val="16"/>
              </w:rPr>
              <w:t>The validation workflow preserves prior history, records the new validation or calibration action, and supports governed review before publication.</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validation or calibration action is recorded, required CalibrationUpdate and review records are present, prior assumptions or superseded values remain auditable, and downstream outputs update only where the test fixture requires.</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TC-FR-VAL-03</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FR-VAL-03</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Validation and Calibration Service</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ReviewFlag</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The system shall permit planner or engineering review of unresolved assumptions and conflicts before final export.</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Commissioning, telemetry, or superseding engineering evidence fixture linked to a prior validated run.</w:t>
            </w:r>
          </w:p>
          <w:p>
            <w:pPr>
              <w:spacing w:after="20" w:line="240" w:lineRule="auto"/>
            </w:pPr>
            <w:r>
              <w:rPr>
                <w:rFonts w:ascii="Calibri" w:hAnsi="Calibri" w:eastAsia="Calibri"/>
                <w:b/>
                <w:sz w:val="16"/>
              </w:rPr>
              <w:t xml:space="preserve">Procedure: </w:t>
            </w:r>
            <w:r>
              <w:rPr>
                <w:rFonts w:ascii="Calibri" w:hAnsi="Calibri" w:eastAsia="Calibri"/>
                <w:b w:val="0"/>
                <w:sz w:val="16"/>
              </w:rPr>
              <w:t>Apply the controlled validation or calibration evidence through the Validation and Calibration Service and verify review workflow. Inspect review flow, preserved prior state, superseded values, and regenerated downstream outputs where applicable.</w:t>
            </w:r>
          </w:p>
          <w:p>
            <w:pPr>
              <w:spacing w:after="20" w:line="240" w:lineRule="auto"/>
            </w:pPr>
            <w:r>
              <w:rPr>
                <w:rFonts w:ascii="Calibri" w:hAnsi="Calibri" w:eastAsia="Calibri"/>
                <w:b/>
                <w:sz w:val="16"/>
              </w:rPr>
              <w:t xml:space="preserve">Expected outcome: </w:t>
            </w:r>
            <w:r>
              <w:rPr>
                <w:rFonts w:ascii="Calibri" w:hAnsi="Calibri" w:eastAsia="Calibri"/>
                <w:b w:val="0"/>
                <w:sz w:val="16"/>
              </w:rPr>
              <w:t>The validation workflow preserves prior history, records the new validation or calibration action, and supports governed review before publication.</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validation or calibration action is recorded, required ReviewFlag and review records are present, prior assumptions or superseded values remain auditable, and downstream outputs update only where the test fixture requires.</w:t>
            </w:r>
          </w:p>
        </w:tc>
      </w:tr>
    </w:tbl>
    <w:p>
      <w:pPr>
        <w:spacing w:after="80"/>
      </w:pPr>
    </w:p>
    <w:p>
      <w:pPr>
        <w:keepNext/>
        <w:spacing w:before="200" w:after="80"/>
      </w:pPr>
      <w:r>
        <w:rPr>
          <w:rFonts w:ascii="Aptos" w:hAnsi="Aptos" w:eastAsia="Aptos"/>
          <w:b/>
          <w:color w:val="1F4E79"/>
          <w:sz w:val="32"/>
        </w:rPr>
        <w:t>7. Non-Functional Requirement Verification</w:t>
      </w:r>
    </w:p>
    <w:p>
      <w:pPr>
        <w:spacing w:after="80"/>
      </w:pPr>
      <w:r>
        <w:rPr>
          <w:rFonts w:ascii="Aptos" w:hAnsi="Aptos" w:eastAsia="Aptos"/>
          <w:sz w:val="22"/>
        </w:rPr>
        <w:t>The following matrix provides requirement-level verification coverage for this requirement family.</w:t>
      </w:r>
    </w:p>
    <w:tbl>
      <w:tblPr>
        <w:tblStyle w:val="TableGrid"/>
        <w:tblW w:type="auto" w:w="0"/>
        <w:jc w:val="center"/>
        <w:tblLook w:firstColumn="1" w:firstRow="1" w:lastColumn="0" w:lastRow="0" w:noHBand="0" w:noVBand="1" w:val="04A0"/>
      </w:tblPr>
      <w:tblGrid>
        <w:gridCol w:w="2037"/>
        <w:gridCol w:w="2037"/>
        <w:gridCol w:w="2037"/>
        <w:gridCol w:w="2037"/>
        <w:gridCol w:w="2037"/>
        <w:gridCol w:w="2037"/>
        <w:gridCol w:w="2037"/>
      </w:tblGrid>
      <w:tr>
        <w:trPr>
          <w:tblHeader w:val="true"/>
        </w:trPr>
        <w:tc>
          <w:tcPr>
            <w:tcW w:type="dxa" w:w="1152"/>
            <w:vAlign w:val="center"/>
            <w:shd w:fill="1F4E78"/>
            <w:tcMar>
              <w:top w:w="90" w:type="dxa"/>
              <w:start w:w="90" w:type="dxa"/>
              <w:bottom w:w="90" w:type="dxa"/>
              <w:end w:w="90" w:type="dxa"/>
            </w:tcMar>
          </w:tcPr>
          <w:p>
            <w:pPr>
              <w:jc w:val="center"/>
            </w:pPr>
            <w:r>
              <w:rPr>
                <w:rFonts w:ascii="Calibri" w:hAnsi="Calibri" w:eastAsia="Calibri"/>
                <w:b/>
                <w:color w:val="FFFFFF"/>
                <w:sz w:val="17"/>
              </w:rPr>
              <w:t>Test Case</w:t>
            </w:r>
          </w:p>
        </w:tc>
        <w:tc>
          <w:tcPr>
            <w:tcW w:type="dxa" w:w="1339"/>
            <w:vAlign w:val="center"/>
            <w:shd w:fill="1F4E78"/>
            <w:tcMar>
              <w:top w:w="90" w:type="dxa"/>
              <w:start w:w="90" w:type="dxa"/>
              <w:bottom w:w="90" w:type="dxa"/>
              <w:end w:w="90" w:type="dxa"/>
            </w:tcMar>
          </w:tcPr>
          <w:p>
            <w:pPr>
              <w:jc w:val="center"/>
            </w:pPr>
            <w:r>
              <w:rPr>
                <w:rFonts w:ascii="Calibri" w:hAnsi="Calibri" w:eastAsia="Calibri"/>
                <w:b/>
                <w:color w:val="FFFFFF"/>
                <w:sz w:val="17"/>
              </w:rPr>
              <w:t>Requirement</w:t>
            </w:r>
          </w:p>
        </w:tc>
        <w:tc>
          <w:tcPr>
            <w:tcW w:type="dxa" w:w="2477"/>
            <w:vAlign w:val="center"/>
            <w:shd w:fill="1F4E78"/>
            <w:tcMar>
              <w:top w:w="90" w:type="dxa"/>
              <w:start w:w="90" w:type="dxa"/>
              <w:bottom w:w="90" w:type="dxa"/>
              <w:end w:w="90" w:type="dxa"/>
            </w:tcMar>
          </w:tcPr>
          <w:p>
            <w:pPr>
              <w:jc w:val="center"/>
            </w:pPr>
            <w:r>
              <w:rPr>
                <w:rFonts w:ascii="Calibri" w:hAnsi="Calibri" w:eastAsia="Calibri"/>
                <w:b/>
                <w:color w:val="FFFFFF"/>
                <w:sz w:val="17"/>
              </w:rPr>
              <w:t>Implementing Component(s)</w:t>
            </w:r>
          </w:p>
        </w:tc>
        <w:tc>
          <w:tcPr>
            <w:tcW w:type="dxa" w:w="2189"/>
            <w:vAlign w:val="center"/>
            <w:shd w:fill="1F4E78"/>
            <w:tcMar>
              <w:top w:w="90" w:type="dxa"/>
              <w:start w:w="90" w:type="dxa"/>
              <w:bottom w:w="90" w:type="dxa"/>
              <w:end w:w="90" w:type="dxa"/>
            </w:tcMar>
          </w:tcPr>
          <w:p>
            <w:pPr>
              <w:jc w:val="center"/>
            </w:pPr>
            <w:r>
              <w:rPr>
                <w:rFonts w:ascii="Calibri" w:hAnsi="Calibri" w:eastAsia="Calibri"/>
                <w:b/>
                <w:color w:val="FFFFFF"/>
                <w:sz w:val="17"/>
              </w:rPr>
              <w:t>Supporting Data Structures</w:t>
            </w:r>
          </w:p>
        </w:tc>
        <w:tc>
          <w:tcPr>
            <w:tcW w:type="dxa" w:w="1382"/>
            <w:vAlign w:val="center"/>
            <w:shd w:fill="1F4E78"/>
            <w:tcMar>
              <w:top w:w="90" w:type="dxa"/>
              <w:start w:w="90" w:type="dxa"/>
              <w:bottom w:w="90" w:type="dxa"/>
              <w:end w:w="90" w:type="dxa"/>
            </w:tcMar>
          </w:tcPr>
          <w:p>
            <w:pPr>
              <w:jc w:val="center"/>
            </w:pPr>
            <w:r>
              <w:rPr>
                <w:rFonts w:ascii="Calibri" w:hAnsi="Calibri" w:eastAsia="Calibri"/>
                <w:b/>
                <w:color w:val="FFFFFF"/>
                <w:sz w:val="17"/>
              </w:rPr>
              <w:t>Method</w:t>
            </w:r>
          </w:p>
        </w:tc>
        <w:tc>
          <w:tcPr>
            <w:tcW w:type="dxa" w:w="3672"/>
            <w:vAlign w:val="center"/>
            <w:shd w:fill="1F4E78"/>
            <w:tcMar>
              <w:top w:w="90" w:type="dxa"/>
              <w:start w:w="90" w:type="dxa"/>
              <w:bottom w:w="90" w:type="dxa"/>
              <w:end w:w="90" w:type="dxa"/>
            </w:tcMar>
          </w:tcPr>
          <w:p>
            <w:pPr>
              <w:jc w:val="center"/>
            </w:pPr>
            <w:r>
              <w:rPr>
                <w:rFonts w:ascii="Calibri" w:hAnsi="Calibri" w:eastAsia="Calibri"/>
                <w:b/>
                <w:color w:val="FFFFFF"/>
                <w:sz w:val="17"/>
              </w:rPr>
              <w:t>Requirement Statement</w:t>
            </w:r>
          </w:p>
        </w:tc>
        <w:tc>
          <w:tcPr>
            <w:tcW w:type="dxa" w:w="4104"/>
            <w:vAlign w:val="center"/>
            <w:shd w:fill="1F4E78"/>
            <w:tcMar>
              <w:top w:w="90" w:type="dxa"/>
              <w:start w:w="90" w:type="dxa"/>
              <w:bottom w:w="90" w:type="dxa"/>
              <w:end w:w="90" w:type="dxa"/>
            </w:tcMar>
          </w:tcPr>
          <w:p>
            <w:pPr>
              <w:jc w:val="center"/>
            </w:pPr>
            <w:r>
              <w:rPr>
                <w:rFonts w:ascii="Calibri" w:hAnsi="Calibri" w:eastAsia="Calibri"/>
                <w:b/>
                <w:color w:val="FFFFFF"/>
                <w:sz w:val="17"/>
              </w:rPr>
              <w:t>Verification Detail</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TC-NFR-SEC-01</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NFR-SEC-01</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Governance and Security Architecture</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ProjectRoleAssignment</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Security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The system shall enforce least-privilege, role-based access control for facility documents, interview data, canonical state, and derived outputs.</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Role-based user accounts, project-isolation fixture, encrypted transport/session configuration, and protected project records.</w:t>
            </w:r>
          </w:p>
          <w:p>
            <w:pPr>
              <w:spacing w:after="20" w:line="240" w:lineRule="auto"/>
            </w:pPr>
            <w:r>
              <w:rPr>
                <w:rFonts w:ascii="Calibri" w:hAnsi="Calibri" w:eastAsia="Calibri"/>
                <w:b/>
                <w:sz w:val="16"/>
              </w:rPr>
              <w:t xml:space="preserve">Procedure: </w:t>
            </w:r>
            <w:r>
              <w:rPr>
                <w:rFonts w:ascii="Calibri" w:hAnsi="Calibri" w:eastAsia="Calibri"/>
                <w:b w:val="0"/>
                <w:sz w:val="16"/>
              </w:rPr>
              <w:t>Exercise authorized and unauthorized access scenarios against the controlled project fixture and verify rbac enforcement. Inspect enforcement of project isolation, least-privilege access, and protection of sensitive records in transit and at rest.</w:t>
            </w:r>
          </w:p>
          <w:p>
            <w:pPr>
              <w:spacing w:after="20" w:line="240" w:lineRule="auto"/>
            </w:pPr>
            <w:r>
              <w:rPr>
                <w:rFonts w:ascii="Calibri" w:hAnsi="Calibri" w:eastAsia="Calibri"/>
                <w:b/>
                <w:sz w:val="16"/>
              </w:rPr>
              <w:t xml:space="preserve">Expected outcome: </w:t>
            </w:r>
            <w:r>
              <w:rPr>
                <w:rFonts w:ascii="Calibri" w:hAnsi="Calibri" w:eastAsia="Calibri"/>
                <w:b w:val="0"/>
                <w:sz w:val="16"/>
              </w:rPr>
              <w:t>Security controls block unauthorized access, maintain project isolation, and protect controlled records during storage and transport.</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authorized actions succeed, unauthorized actions are denied, required security evidence is present, and controlled records remain encrypted or otherwise protected as configured for the test baseline.</w:t>
            </w:r>
          </w:p>
        </w:tc>
      </w:tr>
      <w:tr>
        <w:trPr>
          <w:cantSplit/>
        </w:trPr>
        <w:tc>
          <w:tcPr>
            <w:tcW w:type="dxa" w:w="1152"/>
            <w:vAlign w:val="center"/>
            <w:tcMar>
              <w:top w:w="80" w:type="dxa"/>
              <w:start w:w="85" w:type="dxa"/>
              <w:bottom w:w="80" w:type="dxa"/>
              <w:end w:w="85" w:type="dxa"/>
            </w:tcMar>
            <w:shd w:fill="F7FBFF"/>
          </w:tcPr>
          <w:p>
            <w:pPr>
              <w:spacing w:after="40" w:line="240" w:lineRule="auto"/>
            </w:pPr>
            <w:r>
              <w:rPr>
                <w:rFonts w:ascii="Calibri" w:hAnsi="Calibri" w:eastAsia="Calibri"/>
                <w:b/>
                <w:sz w:val="16"/>
              </w:rPr>
              <w:t>TC-NFR-SEC-02</w:t>
            </w:r>
          </w:p>
        </w:tc>
        <w:tc>
          <w:tcPr>
            <w:tcW w:type="dxa" w:w="1339"/>
            <w:vAlign w:val="center"/>
            <w:tcMar>
              <w:top w:w="80" w:type="dxa"/>
              <w:start w:w="85" w:type="dxa"/>
              <w:bottom w:w="80" w:type="dxa"/>
              <w:end w:w="85" w:type="dxa"/>
            </w:tcMar>
            <w:shd w:fill="F7FBFF"/>
          </w:tcPr>
          <w:p>
            <w:pPr>
              <w:spacing w:after="40" w:line="240" w:lineRule="auto"/>
            </w:pPr>
            <w:r>
              <w:rPr>
                <w:rFonts w:ascii="Calibri" w:hAnsi="Calibri" w:eastAsia="Calibri"/>
                <w:b/>
                <w:sz w:val="16"/>
              </w:rPr>
              <w:t>NFR-SEC-02</w:t>
            </w:r>
          </w:p>
        </w:tc>
        <w:tc>
          <w:tcPr>
            <w:tcW w:type="dxa" w:w="2477"/>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Security Architecture</w:t>
            </w:r>
          </w:p>
        </w:tc>
        <w:tc>
          <w:tcPr>
            <w:tcW w:type="dxa" w:w="2189"/>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AccessPolicyReference</w:t>
            </w:r>
          </w:p>
        </w:tc>
        <w:tc>
          <w:tcPr>
            <w:tcW w:type="dxa" w:w="138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Security Test</w:t>
            </w:r>
          </w:p>
        </w:tc>
        <w:tc>
          <w:tcPr>
            <w:tcW w:type="dxa" w:w="367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The system shall protect sensitive documents and derived data using encryption at rest and in transit.</w:t>
            </w:r>
          </w:p>
        </w:tc>
        <w:tc>
          <w:tcPr>
            <w:tcW w:type="dxa" w:w="4104"/>
            <w:vAlign w:val="center"/>
            <w:tcMar>
              <w:top w:w="80" w:type="dxa"/>
              <w:start w:w="85" w:type="dxa"/>
              <w:bottom w:w="80" w:type="dxa"/>
              <w:end w:w="85" w:type="dxa"/>
            </w:tcMar>
            <w:shd w:fill="F7FBFF"/>
            <w:shd w:fill="F7FBFF"/>
          </w:tcPr>
          <w:p>
            <w:pPr>
              <w:spacing w:after="20" w:line="240" w:lineRule="auto"/>
            </w:pPr>
            <w:r/>
            <w:r>
              <w:rPr>
                <w:rFonts w:ascii="Calibri" w:hAnsi="Calibri" w:eastAsia="Calibri"/>
                <w:b/>
                <w:sz w:val="16"/>
              </w:rPr>
              <w:t xml:space="preserve">Test data: </w:t>
            </w:r>
            <w:r>
              <w:rPr>
                <w:rFonts w:ascii="Calibri" w:hAnsi="Calibri" w:eastAsia="Calibri"/>
                <w:b w:val="0"/>
                <w:sz w:val="16"/>
              </w:rPr>
              <w:t>Role-based user accounts, project-isolation fixture, encrypted transport/session configuration, and protected project records.</w:t>
            </w:r>
          </w:p>
          <w:p>
            <w:pPr>
              <w:spacing w:after="20" w:line="240" w:lineRule="auto"/>
            </w:pPr>
            <w:r>
              <w:rPr>
                <w:rFonts w:ascii="Calibri" w:hAnsi="Calibri" w:eastAsia="Calibri"/>
                <w:b/>
                <w:sz w:val="16"/>
              </w:rPr>
              <w:t xml:space="preserve">Procedure: </w:t>
            </w:r>
            <w:r>
              <w:rPr>
                <w:rFonts w:ascii="Calibri" w:hAnsi="Calibri" w:eastAsia="Calibri"/>
                <w:b w:val="0"/>
                <w:sz w:val="16"/>
              </w:rPr>
              <w:t>Exercise authorized and unauthorized access scenarios against the controlled project fixture and verify encryption controls. Inspect enforcement of project isolation, least-privilege access, and protection of sensitive records in transit and at rest.</w:t>
            </w:r>
          </w:p>
          <w:p>
            <w:pPr>
              <w:spacing w:after="20" w:line="240" w:lineRule="auto"/>
            </w:pPr>
            <w:r>
              <w:rPr>
                <w:rFonts w:ascii="Calibri" w:hAnsi="Calibri" w:eastAsia="Calibri"/>
                <w:b/>
                <w:sz w:val="16"/>
              </w:rPr>
              <w:t xml:space="preserve">Expected outcome: </w:t>
            </w:r>
            <w:r>
              <w:rPr>
                <w:rFonts w:ascii="Calibri" w:hAnsi="Calibri" w:eastAsia="Calibri"/>
                <w:b w:val="0"/>
                <w:sz w:val="16"/>
              </w:rPr>
              <w:t>Security controls block unauthorized access, maintain project isolation, and protect controlled records during storage and transport.</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authorized actions succeed, unauthorized actions are denied, required security evidence is present, and controlled records remain encrypted or otherwise protected as configured for the test baseline.</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TC-NFR-AUD-01</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NFR-AUD-01</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Governance Architecture</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AuditEvent</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Audit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The system shall log access, intake actions, model-generation runs, exports, and governance-relevant events for audit.</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Representative pipeline run with access, intake, validation, translation, export, and governance events enabled.</w:t>
            </w:r>
          </w:p>
          <w:p>
            <w:pPr>
              <w:spacing w:after="20" w:line="240" w:lineRule="auto"/>
            </w:pPr>
            <w:r>
              <w:rPr>
                <w:rFonts w:ascii="Calibri" w:hAnsi="Calibri" w:eastAsia="Calibri"/>
                <w:b/>
                <w:sz w:val="16"/>
              </w:rPr>
              <w:t xml:space="preserve">Procedure: </w:t>
            </w:r>
            <w:r>
              <w:rPr>
                <w:rFonts w:ascii="Calibri" w:hAnsi="Calibri" w:eastAsia="Calibri"/>
                <w:b w:val="0"/>
                <w:sz w:val="16"/>
              </w:rPr>
              <w:t>Execute a representative governed pipeline run and verify audit logs. Inspect immutable audit events for access, intake, governance, validation, translation, export, and run linkage completeness.</w:t>
            </w:r>
          </w:p>
          <w:p>
            <w:pPr>
              <w:spacing w:after="20" w:line="240" w:lineRule="auto"/>
            </w:pPr>
            <w:r>
              <w:rPr>
                <w:rFonts w:ascii="Calibri" w:hAnsi="Calibri" w:eastAsia="Calibri"/>
                <w:b/>
                <w:sz w:val="16"/>
              </w:rPr>
              <w:t xml:space="preserve">Expected outcome: </w:t>
            </w:r>
            <w:r>
              <w:rPr>
                <w:rFonts w:ascii="Calibri" w:hAnsi="Calibri" w:eastAsia="Calibri"/>
                <w:b w:val="0"/>
                <w:sz w:val="16"/>
              </w:rPr>
              <w:t>The required audit events are written with sufficient metadata to support review, replay, and accountability.</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all audited events expected for the controlled run are present, immutable, time-stamped, linked to the correct actor/service and run, and sufficient for independent review.</w:t>
            </w:r>
          </w:p>
        </w:tc>
      </w:tr>
      <w:tr>
        <w:trPr>
          <w:cantSplit/>
        </w:trPr>
        <w:tc>
          <w:tcPr>
            <w:tcW w:type="dxa" w:w="1152"/>
            <w:vAlign w:val="center"/>
            <w:tcMar>
              <w:top w:w="80" w:type="dxa"/>
              <w:start w:w="85" w:type="dxa"/>
              <w:bottom w:w="80" w:type="dxa"/>
              <w:end w:w="85" w:type="dxa"/>
            </w:tcMar>
            <w:shd w:fill="F7FBFF"/>
          </w:tcPr>
          <w:p>
            <w:pPr>
              <w:spacing w:after="40" w:line="240" w:lineRule="auto"/>
            </w:pPr>
            <w:r>
              <w:rPr>
                <w:rFonts w:ascii="Calibri" w:hAnsi="Calibri" w:eastAsia="Calibri"/>
                <w:b/>
                <w:sz w:val="16"/>
              </w:rPr>
              <w:t>TC-NFR-TRC-01</w:t>
            </w:r>
          </w:p>
        </w:tc>
        <w:tc>
          <w:tcPr>
            <w:tcW w:type="dxa" w:w="1339"/>
            <w:vAlign w:val="center"/>
            <w:tcMar>
              <w:top w:w="80" w:type="dxa"/>
              <w:start w:w="85" w:type="dxa"/>
              <w:bottom w:w="80" w:type="dxa"/>
              <w:end w:w="85" w:type="dxa"/>
            </w:tcMar>
            <w:shd w:fill="F7FBFF"/>
          </w:tcPr>
          <w:p>
            <w:pPr>
              <w:spacing w:after="40" w:line="240" w:lineRule="auto"/>
            </w:pPr>
            <w:r>
              <w:rPr>
                <w:rFonts w:ascii="Calibri" w:hAnsi="Calibri" w:eastAsia="Calibri"/>
                <w:b/>
                <w:sz w:val="16"/>
              </w:rPr>
              <w:t>NFR-TRC-01</w:t>
            </w:r>
          </w:p>
        </w:tc>
        <w:tc>
          <w:tcPr>
            <w:tcW w:type="dxa" w:w="2477"/>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Translation Service</w:t>
            </w:r>
          </w:p>
        </w:tc>
        <w:tc>
          <w:tcPr>
            <w:tcW w:type="dxa" w:w="2189"/>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ProvenanceRecord</w:t>
            </w:r>
          </w:p>
        </w:tc>
        <w:tc>
          <w:tcPr>
            <w:tcW w:type="dxa" w:w="138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Each output parameter shall include provenance identifying a source document anchor, retrieval snippet, deterministic rule, explicit assumption, or documented conflict state.</w:t>
            </w:r>
          </w:p>
        </w:tc>
        <w:tc>
          <w:tcPr>
            <w:tcW w:type="dxa" w:w="4104"/>
            <w:vAlign w:val="center"/>
            <w:tcMar>
              <w:top w:w="80" w:type="dxa"/>
              <w:start w:w="85" w:type="dxa"/>
              <w:bottom w:w="80" w:type="dxa"/>
              <w:end w:w="85" w:type="dxa"/>
            </w:tcMar>
            <w:shd w:fill="F7FBFF"/>
            <w:shd w:fill="F7FBFF"/>
          </w:tcPr>
          <w:p>
            <w:pPr>
              <w:spacing w:after="20" w:line="240" w:lineRule="auto"/>
            </w:pPr>
            <w:r/>
            <w:r>
              <w:rPr>
                <w:rFonts w:ascii="Calibri" w:hAnsi="Calibri" w:eastAsia="Calibri"/>
                <w:b/>
                <w:sz w:val="16"/>
              </w:rPr>
              <w:t xml:space="preserve">Test data: </w:t>
            </w:r>
            <w:r>
              <w:rPr>
                <w:rFonts w:ascii="Calibri" w:hAnsi="Calibri" w:eastAsia="Calibri"/>
                <w:b w:val="0"/>
                <w:sz w:val="16"/>
              </w:rPr>
              <w:t>Completed output packet containing parameters, provenance links, rule references, assumptions, and conflict states.</w:t>
            </w:r>
          </w:p>
          <w:p>
            <w:pPr>
              <w:spacing w:after="20" w:line="240" w:lineRule="auto"/>
            </w:pPr>
            <w:r>
              <w:rPr>
                <w:rFonts w:ascii="Calibri" w:hAnsi="Calibri" w:eastAsia="Calibri"/>
                <w:b/>
                <w:sz w:val="16"/>
              </w:rPr>
              <w:t xml:space="preserve">Procedure: </w:t>
            </w:r>
            <w:r>
              <w:rPr>
                <w:rFonts w:ascii="Calibri" w:hAnsi="Calibri" w:eastAsia="Calibri"/>
                <w:b w:val="0"/>
                <w:sz w:val="16"/>
              </w:rPr>
              <w:t>Generate a completed output packet and verify parameter evidence references. Inspect parameter-level provenance links to source anchors, retrieval snippets, deterministic rules, assumptions, or conflict states.</w:t>
            </w:r>
          </w:p>
          <w:p>
            <w:pPr>
              <w:spacing w:after="20" w:line="240" w:lineRule="auto"/>
            </w:pPr>
            <w:r>
              <w:rPr>
                <w:rFonts w:ascii="Calibri" w:hAnsi="Calibri" w:eastAsia="Calibri"/>
                <w:b/>
                <w:sz w:val="16"/>
              </w:rPr>
              <w:t xml:space="preserve">Expected outcome: </w:t>
            </w:r>
            <w:r>
              <w:rPr>
                <w:rFonts w:ascii="Calibri" w:hAnsi="Calibri" w:eastAsia="Calibri"/>
                <w:b w:val="0"/>
                <w:sz w:val="16"/>
              </w:rPr>
              <w:t>Every tested output parameter carries the traceability content required to identify its originating evidence or deterministic basis.</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each tested output parameter resolves to a valid provenance basis and the trace path to source anchor, snippet, rule, assumption, or conflict state is complete and reviewable.</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TC-NFR-REP-01</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NFR-REP-01</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Run Lineage Model</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RunConfig, CanonicalStateSnapshot</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Regression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Given the same inputs, pinned system configuration, and applicable model versions, outputs shall be reproducible within documented tolerance.</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Two identical controlled runs executed under the same pinned configuration, schema versions, and input data.</w:t>
            </w:r>
          </w:p>
          <w:p>
            <w:pPr>
              <w:spacing w:after="20" w:line="240" w:lineRule="auto"/>
            </w:pPr>
            <w:r>
              <w:rPr>
                <w:rFonts w:ascii="Calibri" w:hAnsi="Calibri" w:eastAsia="Calibri"/>
                <w:b/>
                <w:sz w:val="16"/>
              </w:rPr>
              <w:t xml:space="preserve">Procedure: </w:t>
            </w:r>
            <w:r>
              <w:rPr>
                <w:rFonts w:ascii="Calibri" w:hAnsi="Calibri" w:eastAsia="Calibri"/>
                <w:b w:val="0"/>
                <w:sz w:val="16"/>
              </w:rPr>
              <w:t>Execute two identical controlled runs under the same pinned configuration and verify reproducible outputs. Compare outputs, canonical snapshots, and lineage records for deterministic equivalence within documented tolerance.</w:t>
            </w:r>
          </w:p>
          <w:p>
            <w:pPr>
              <w:spacing w:after="20" w:line="240" w:lineRule="auto"/>
            </w:pPr>
            <w:r>
              <w:rPr>
                <w:rFonts w:ascii="Calibri" w:hAnsi="Calibri" w:eastAsia="Calibri"/>
                <w:b/>
                <w:sz w:val="16"/>
              </w:rPr>
              <w:t xml:space="preserve">Expected outcome: </w:t>
            </w:r>
            <w:r>
              <w:rPr>
                <w:rFonts w:ascii="Calibri" w:hAnsi="Calibri" w:eastAsia="Calibri"/>
                <w:b w:val="0"/>
                <w:sz w:val="16"/>
              </w:rPr>
              <w:t>Repeated controlled runs under identical conditions produce matching outputs and lineage artifacts within documented tolerance.</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repeated controlled runs produce equivalent outputs and lineage artifacts within the documented tolerance, with no unexplained divergence across configuration, snapshot, or export records.</w:t>
            </w:r>
          </w:p>
        </w:tc>
      </w:tr>
      <w:tr>
        <w:trPr>
          <w:cantSplit/>
        </w:trPr>
        <w:tc>
          <w:tcPr>
            <w:tcW w:type="dxa" w:w="1152"/>
            <w:vAlign w:val="center"/>
            <w:tcMar>
              <w:top w:w="80" w:type="dxa"/>
              <w:start w:w="85" w:type="dxa"/>
              <w:bottom w:w="80" w:type="dxa"/>
              <w:end w:w="85" w:type="dxa"/>
            </w:tcMar>
            <w:shd w:fill="F7FBFF"/>
          </w:tcPr>
          <w:p>
            <w:pPr>
              <w:spacing w:after="40" w:line="240" w:lineRule="auto"/>
            </w:pPr>
            <w:r>
              <w:rPr>
                <w:rFonts w:ascii="Calibri" w:hAnsi="Calibri" w:eastAsia="Calibri"/>
                <w:b/>
                <w:sz w:val="16"/>
              </w:rPr>
              <w:t>TC-NFR-PERF-01</w:t>
            </w:r>
          </w:p>
        </w:tc>
        <w:tc>
          <w:tcPr>
            <w:tcW w:type="dxa" w:w="1339"/>
            <w:vAlign w:val="center"/>
            <w:tcMar>
              <w:top w:w="80" w:type="dxa"/>
              <w:start w:w="85" w:type="dxa"/>
              <w:bottom w:w="80" w:type="dxa"/>
              <w:end w:w="85" w:type="dxa"/>
            </w:tcMar>
            <w:shd w:fill="F7FBFF"/>
          </w:tcPr>
          <w:p>
            <w:pPr>
              <w:spacing w:after="40" w:line="240" w:lineRule="auto"/>
            </w:pPr>
            <w:r>
              <w:rPr>
                <w:rFonts w:ascii="Calibri" w:hAnsi="Calibri" w:eastAsia="Calibri"/>
                <w:b/>
                <w:sz w:val="16"/>
              </w:rPr>
              <w:t>NFR-PERF-01</w:t>
            </w:r>
          </w:p>
        </w:tc>
        <w:tc>
          <w:tcPr>
            <w:tcW w:type="dxa" w:w="2477"/>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Processing Pipeline Services</w:t>
            </w:r>
          </w:p>
        </w:tc>
        <w:tc>
          <w:tcPr>
            <w:tcW w:type="dxa" w:w="2189"/>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Run</w:t>
            </w:r>
          </w:p>
        </w:tc>
        <w:tc>
          <w:tcPr>
            <w:tcW w:type="dxa" w:w="138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Performance Test</w:t>
            </w:r>
          </w:p>
        </w:tc>
        <w:tc>
          <w:tcPr>
            <w:tcW w:type="dxa" w:w="367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For a representative submission set, the system shall produce an initial modeling packet within an operationally acceptable timeframe for engineering workflow.</w:t>
            </w:r>
          </w:p>
        </w:tc>
        <w:tc>
          <w:tcPr>
            <w:tcW w:type="dxa" w:w="4104"/>
            <w:vAlign w:val="center"/>
            <w:tcMar>
              <w:top w:w="80" w:type="dxa"/>
              <w:start w:w="85" w:type="dxa"/>
              <w:bottom w:w="80" w:type="dxa"/>
              <w:end w:w="85" w:type="dxa"/>
            </w:tcMar>
            <w:shd w:fill="F7FBFF"/>
            <w:shd w:fill="F7FBFF"/>
          </w:tcPr>
          <w:p>
            <w:pPr>
              <w:spacing w:after="20" w:line="240" w:lineRule="auto"/>
            </w:pPr>
            <w:r/>
            <w:r>
              <w:rPr>
                <w:rFonts w:ascii="Calibri" w:hAnsi="Calibri" w:eastAsia="Calibri"/>
                <w:b/>
                <w:sz w:val="16"/>
              </w:rPr>
              <w:t xml:space="preserve">Test data: </w:t>
            </w:r>
            <w:r>
              <w:rPr>
                <w:rFonts w:ascii="Calibri" w:hAnsi="Calibri" w:eastAsia="Calibri"/>
                <w:b w:val="0"/>
                <w:sz w:val="16"/>
              </w:rPr>
              <w:t>Representative submission set sized to the project performance baseline and executed in the controlled verification environment.</w:t>
            </w:r>
          </w:p>
          <w:p>
            <w:pPr>
              <w:spacing w:after="20" w:line="240" w:lineRule="auto"/>
            </w:pPr>
            <w:r>
              <w:rPr>
                <w:rFonts w:ascii="Calibri" w:hAnsi="Calibri" w:eastAsia="Calibri"/>
                <w:b/>
                <w:sz w:val="16"/>
              </w:rPr>
              <w:t xml:space="preserve">Procedure: </w:t>
            </w:r>
            <w:r>
              <w:rPr>
                <w:rFonts w:ascii="Calibri" w:hAnsi="Calibri" w:eastAsia="Calibri"/>
                <w:b w:val="0"/>
                <w:sz w:val="16"/>
              </w:rPr>
              <w:t>Run the representative submission set in the controlled verification environment and measure runtime performance. Record elapsed processing time, stage completion, and any threshold breaches against the approved performance baseline.</w:t>
            </w:r>
          </w:p>
          <w:p>
            <w:pPr>
              <w:spacing w:after="20" w:line="240" w:lineRule="auto"/>
            </w:pPr>
            <w:r>
              <w:rPr>
                <w:rFonts w:ascii="Calibri" w:hAnsi="Calibri" w:eastAsia="Calibri"/>
                <w:b/>
                <w:sz w:val="16"/>
              </w:rPr>
              <w:t xml:space="preserve">Expected outcome: </w:t>
            </w:r>
            <w:r>
              <w:rPr>
                <w:rFonts w:ascii="Calibri" w:hAnsi="Calibri" w:eastAsia="Calibri"/>
                <w:b w:val="0"/>
                <w:sz w:val="16"/>
              </w:rPr>
              <w:t>The representative workload completes within the approved operational threshold for the verification baseline.</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measured runtime and stage completion results meet the approved verification threshold for the representative workload and no required pipeline stage fails under load.</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TC-NFR-AVL-01</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NFR-AVL-01</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Infrastructure Platform</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Run</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Availability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The production deployment shall support enterprise-appropriate availability and recovery characteristics.</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Deployed service stack with persistent storage and a controlled restart or recovery event.</w:t>
            </w:r>
          </w:p>
          <w:p>
            <w:pPr>
              <w:spacing w:after="20" w:line="240" w:lineRule="auto"/>
            </w:pPr>
            <w:r>
              <w:rPr>
                <w:rFonts w:ascii="Calibri" w:hAnsi="Calibri" w:eastAsia="Calibri"/>
                <w:b/>
                <w:sz w:val="16"/>
              </w:rPr>
              <w:t xml:space="preserve">Procedure: </w:t>
            </w:r>
            <w:r>
              <w:rPr>
                <w:rFonts w:ascii="Calibri" w:hAnsi="Calibri" w:eastAsia="Calibri"/>
                <w:b w:val="0"/>
                <w:sz w:val="16"/>
              </w:rPr>
              <w:t>Perform a controlled restart or recovery event during or after a representative run and verify service recovery. Inspect recovery of service availability, preservation of authoritative state, and ability to resume governed processing.</w:t>
            </w:r>
          </w:p>
          <w:p>
            <w:pPr>
              <w:spacing w:after="20" w:line="240" w:lineRule="auto"/>
            </w:pPr>
            <w:r>
              <w:rPr>
                <w:rFonts w:ascii="Calibri" w:hAnsi="Calibri" w:eastAsia="Calibri"/>
                <w:b/>
                <w:sz w:val="16"/>
              </w:rPr>
              <w:t xml:space="preserve">Expected outcome: </w:t>
            </w:r>
            <w:r>
              <w:rPr>
                <w:rFonts w:ascii="Calibri" w:hAnsi="Calibri" w:eastAsia="Calibri"/>
                <w:b w:val="0"/>
                <w:sz w:val="16"/>
              </w:rPr>
              <w:t>The platform recovers service availability and preserves authoritative state across the controlled recovery event.</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service recovery completes within the approved availability baseline, authoritative state survives the event, and the workflow resumes without orphaned run or snapshot records.</w:t>
            </w:r>
          </w:p>
        </w:tc>
      </w:tr>
      <w:tr>
        <w:trPr>
          <w:cantSplit/>
        </w:trPr>
        <w:tc>
          <w:tcPr>
            <w:tcW w:type="dxa" w:w="1152"/>
            <w:vAlign w:val="center"/>
            <w:tcMar>
              <w:top w:w="80" w:type="dxa"/>
              <w:start w:w="85" w:type="dxa"/>
              <w:bottom w:w="80" w:type="dxa"/>
              <w:end w:w="85" w:type="dxa"/>
            </w:tcMar>
            <w:shd w:fill="F7FBFF"/>
          </w:tcPr>
          <w:p>
            <w:pPr>
              <w:spacing w:after="40" w:line="240" w:lineRule="auto"/>
            </w:pPr>
            <w:r>
              <w:rPr>
                <w:rFonts w:ascii="Calibri" w:hAnsi="Calibri" w:eastAsia="Calibri"/>
                <w:b/>
                <w:sz w:val="16"/>
              </w:rPr>
              <w:t>TC-NFR-RET-01</w:t>
            </w:r>
          </w:p>
        </w:tc>
        <w:tc>
          <w:tcPr>
            <w:tcW w:type="dxa" w:w="1339"/>
            <w:vAlign w:val="center"/>
            <w:tcMar>
              <w:top w:w="80" w:type="dxa"/>
              <w:start w:w="85" w:type="dxa"/>
              <w:bottom w:w="80" w:type="dxa"/>
              <w:end w:w="85" w:type="dxa"/>
            </w:tcMar>
            <w:shd w:fill="F7FBFF"/>
          </w:tcPr>
          <w:p>
            <w:pPr>
              <w:spacing w:after="40" w:line="240" w:lineRule="auto"/>
            </w:pPr>
            <w:r>
              <w:rPr>
                <w:rFonts w:ascii="Calibri" w:hAnsi="Calibri" w:eastAsia="Calibri"/>
                <w:b/>
                <w:sz w:val="16"/>
              </w:rPr>
              <w:t>NFR-RET-01</w:t>
            </w:r>
          </w:p>
        </w:tc>
        <w:tc>
          <w:tcPr>
            <w:tcW w:type="dxa" w:w="2477"/>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Governance Architecture</w:t>
            </w:r>
          </w:p>
        </w:tc>
        <w:tc>
          <w:tcPr>
            <w:tcW w:type="dxa" w:w="2189"/>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RetentionPolicy</w:t>
            </w:r>
          </w:p>
        </w:tc>
        <w:tc>
          <w:tcPr>
            <w:tcW w:type="dxa" w:w="138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Compliance Test</w:t>
            </w:r>
          </w:p>
        </w:tc>
        <w:tc>
          <w:tcPr>
            <w:tcW w:type="dxa" w:w="367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The system shall support configurable retention and deletion policies for proprietary project data, artifacts, and exports.</w:t>
            </w:r>
          </w:p>
        </w:tc>
        <w:tc>
          <w:tcPr>
            <w:tcW w:type="dxa" w:w="4104"/>
            <w:vAlign w:val="center"/>
            <w:tcMar>
              <w:top w:w="80" w:type="dxa"/>
              <w:start w:w="85" w:type="dxa"/>
              <w:bottom w:w="80" w:type="dxa"/>
              <w:end w:w="85" w:type="dxa"/>
            </w:tcMar>
            <w:shd w:fill="F7FBFF"/>
            <w:shd w:fill="F7FBFF"/>
          </w:tcPr>
          <w:p>
            <w:pPr>
              <w:spacing w:after="20" w:line="240" w:lineRule="auto"/>
            </w:pPr>
            <w:r/>
            <w:r>
              <w:rPr>
                <w:rFonts w:ascii="Calibri" w:hAnsi="Calibri" w:eastAsia="Calibri"/>
                <w:b/>
                <w:sz w:val="16"/>
              </w:rPr>
              <w:t xml:space="preserve">Test data: </w:t>
            </w:r>
            <w:r>
              <w:rPr>
                <w:rFonts w:ascii="Calibri" w:hAnsi="Calibri" w:eastAsia="Calibri"/>
                <w:b w:val="0"/>
                <w:sz w:val="16"/>
              </w:rPr>
              <w:t>Project records governed by an active retention policy with deletion scheduling and legal-hold controls available.</w:t>
            </w:r>
          </w:p>
          <w:p>
            <w:pPr>
              <w:spacing w:after="20" w:line="240" w:lineRule="auto"/>
            </w:pPr>
            <w:r>
              <w:rPr>
                <w:rFonts w:ascii="Calibri" w:hAnsi="Calibri" w:eastAsia="Calibri"/>
                <w:b/>
                <w:sz w:val="16"/>
              </w:rPr>
              <w:t xml:space="preserve">Procedure: </w:t>
            </w:r>
            <w:r>
              <w:rPr>
                <w:rFonts w:ascii="Calibri" w:hAnsi="Calibri" w:eastAsia="Calibri"/>
                <w:b w:val="0"/>
                <w:sz w:val="16"/>
              </w:rPr>
              <w:t>Apply the active retention policy to the controlled project records and verify retention enforcement. Inspect deletion scheduling, policy enforcement, and legal-hold behavior where a hold is activated.</w:t>
            </w:r>
          </w:p>
          <w:p>
            <w:pPr>
              <w:spacing w:after="20" w:line="240" w:lineRule="auto"/>
            </w:pPr>
            <w:r>
              <w:rPr>
                <w:rFonts w:ascii="Calibri" w:hAnsi="Calibri" w:eastAsia="Calibri"/>
                <w:b/>
                <w:sz w:val="16"/>
              </w:rPr>
              <w:t xml:space="preserve">Expected outcome: </w:t>
            </w:r>
            <w:r>
              <w:rPr>
                <w:rFonts w:ascii="Calibri" w:hAnsi="Calibri" w:eastAsia="Calibri"/>
                <w:b w:val="0"/>
                <w:sz w:val="16"/>
              </w:rPr>
              <w:t>Retention controls correctly schedule or prevent deletion in accordance with the active policy and any legal hold.</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the active policy correctly schedules or blocks deletion, required retention records exist, and a legal hold prevents deletion while the hold remains active.</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TC-NFR-GOV-01</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NFR-GOV-01</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Structured Interview Intake Service</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InterviewSession</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Interactive intake sessions shall store structured question and answer state and summaries suitable for reproducible processing without relying on raw conversational history as the primary LLM context.</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Structured intake and conflict-handling workflow using contradictory responses and evidence sources.</w:t>
            </w:r>
          </w:p>
          <w:p>
            <w:pPr>
              <w:spacing w:after="20" w:line="240" w:lineRule="auto"/>
            </w:pPr>
            <w:r>
              <w:rPr>
                <w:rFonts w:ascii="Calibri" w:hAnsi="Calibri" w:eastAsia="Calibri"/>
                <w:b/>
                <w:sz w:val="16"/>
              </w:rPr>
              <w:t xml:space="preserve">Procedure: </w:t>
            </w:r>
            <w:r>
              <w:rPr>
                <w:rFonts w:ascii="Calibri" w:hAnsi="Calibri" w:eastAsia="Calibri"/>
                <w:b w:val="0"/>
                <w:sz w:val="16"/>
              </w:rPr>
              <w:t>Execute the structured intake and conflict-handling workflow with contradictory evidence and verify structured intake state. Inspect persisted structured state, surfaced contradictions, and planner-facing transparency of unresolved conflicts.</w:t>
            </w:r>
          </w:p>
          <w:p>
            <w:pPr>
              <w:spacing w:after="20" w:line="240" w:lineRule="auto"/>
            </w:pPr>
            <w:r>
              <w:rPr>
                <w:rFonts w:ascii="Calibri" w:hAnsi="Calibri" w:eastAsia="Calibri"/>
                <w:b/>
                <w:sz w:val="16"/>
              </w:rPr>
              <w:t xml:space="preserve">Expected outcome: </w:t>
            </w:r>
            <w:r>
              <w:rPr>
                <w:rFonts w:ascii="Calibri" w:hAnsi="Calibri" w:eastAsia="Calibri"/>
                <w:b w:val="0"/>
                <w:sz w:val="16"/>
              </w:rPr>
              <w:t>Governed intake and conflict transparency behave as required, with structured state persisted and contradictions surfaced rather than hidden.</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structured state persists outside raw conversational history, contradictions remain explicit in run and planner-facing records, and no silent conflict suppression occurs.</w:t>
            </w:r>
          </w:p>
        </w:tc>
      </w:tr>
      <w:tr>
        <w:trPr>
          <w:cantSplit/>
        </w:trPr>
        <w:tc>
          <w:tcPr>
            <w:tcW w:type="dxa" w:w="1152"/>
            <w:vAlign w:val="center"/>
            <w:tcMar>
              <w:top w:w="80" w:type="dxa"/>
              <w:start w:w="85" w:type="dxa"/>
              <w:bottom w:w="80" w:type="dxa"/>
              <w:end w:w="85" w:type="dxa"/>
            </w:tcMar>
            <w:shd w:fill="F7FBFF"/>
          </w:tcPr>
          <w:p>
            <w:pPr>
              <w:spacing w:after="40" w:line="240" w:lineRule="auto"/>
            </w:pPr>
            <w:r>
              <w:rPr>
                <w:rFonts w:ascii="Calibri" w:hAnsi="Calibri" w:eastAsia="Calibri"/>
                <w:b/>
                <w:sz w:val="16"/>
              </w:rPr>
              <w:t>TC-NFR-GOV-02</w:t>
            </w:r>
          </w:p>
        </w:tc>
        <w:tc>
          <w:tcPr>
            <w:tcW w:type="dxa" w:w="1339"/>
            <w:vAlign w:val="center"/>
            <w:tcMar>
              <w:top w:w="80" w:type="dxa"/>
              <w:start w:w="85" w:type="dxa"/>
              <w:bottom w:w="80" w:type="dxa"/>
              <w:end w:w="85" w:type="dxa"/>
            </w:tcMar>
            <w:shd w:fill="F7FBFF"/>
          </w:tcPr>
          <w:p>
            <w:pPr>
              <w:spacing w:after="40" w:line="240" w:lineRule="auto"/>
            </w:pPr>
            <w:r>
              <w:rPr>
                <w:rFonts w:ascii="Calibri" w:hAnsi="Calibri" w:eastAsia="Calibri"/>
                <w:b/>
                <w:sz w:val="16"/>
              </w:rPr>
              <w:t>NFR-GOV-02</w:t>
            </w:r>
          </w:p>
        </w:tc>
        <w:tc>
          <w:tcPr>
            <w:tcW w:type="dxa" w:w="2477"/>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Normalization and Deterministic Validation Service</w:t>
            </w:r>
          </w:p>
        </w:tc>
        <w:tc>
          <w:tcPr>
            <w:tcW w:type="dxa" w:w="2189"/>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ConflictRecord</w:t>
            </w:r>
          </w:p>
        </w:tc>
        <w:tc>
          <w:tcPr>
            <w:tcW w:type="dxa" w:w="138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When contradictory information is detected across user responses, project documents, or retrieved references, the system shall preserve the conflict in run records and planner-facing outputs until resolved.</w:t>
            </w:r>
          </w:p>
        </w:tc>
        <w:tc>
          <w:tcPr>
            <w:tcW w:type="dxa" w:w="4104"/>
            <w:vAlign w:val="center"/>
            <w:tcMar>
              <w:top w:w="80" w:type="dxa"/>
              <w:start w:w="85" w:type="dxa"/>
              <w:bottom w:w="80" w:type="dxa"/>
              <w:end w:w="85" w:type="dxa"/>
            </w:tcMar>
            <w:shd w:fill="F7FBFF"/>
            <w:shd w:fill="F7FBFF"/>
          </w:tcPr>
          <w:p>
            <w:pPr>
              <w:spacing w:after="20" w:line="240" w:lineRule="auto"/>
            </w:pPr>
            <w:r/>
            <w:r>
              <w:rPr>
                <w:rFonts w:ascii="Calibri" w:hAnsi="Calibri" w:eastAsia="Calibri"/>
                <w:b/>
                <w:sz w:val="16"/>
              </w:rPr>
              <w:t xml:space="preserve">Test data: </w:t>
            </w:r>
            <w:r>
              <w:rPr>
                <w:rFonts w:ascii="Calibri" w:hAnsi="Calibri" w:eastAsia="Calibri"/>
                <w:b w:val="0"/>
                <w:sz w:val="16"/>
              </w:rPr>
              <w:t>Structured intake and conflict-handling workflow using contradictory responses and evidence sources.</w:t>
            </w:r>
          </w:p>
          <w:p>
            <w:pPr>
              <w:spacing w:after="20" w:line="240" w:lineRule="auto"/>
            </w:pPr>
            <w:r>
              <w:rPr>
                <w:rFonts w:ascii="Calibri" w:hAnsi="Calibri" w:eastAsia="Calibri"/>
                <w:b/>
                <w:sz w:val="16"/>
              </w:rPr>
              <w:t xml:space="preserve">Procedure: </w:t>
            </w:r>
            <w:r>
              <w:rPr>
                <w:rFonts w:ascii="Calibri" w:hAnsi="Calibri" w:eastAsia="Calibri"/>
                <w:b w:val="0"/>
                <w:sz w:val="16"/>
              </w:rPr>
              <w:t>Execute the structured intake and conflict-handling workflow with contradictory evidence and verify conflict transparency. Inspect persisted structured state, surfaced contradictions, and planner-facing transparency of unresolved conflicts.</w:t>
            </w:r>
          </w:p>
          <w:p>
            <w:pPr>
              <w:spacing w:after="20" w:line="240" w:lineRule="auto"/>
            </w:pPr>
            <w:r>
              <w:rPr>
                <w:rFonts w:ascii="Calibri" w:hAnsi="Calibri" w:eastAsia="Calibri"/>
                <w:b/>
                <w:sz w:val="16"/>
              </w:rPr>
              <w:t xml:space="preserve">Expected outcome: </w:t>
            </w:r>
            <w:r>
              <w:rPr>
                <w:rFonts w:ascii="Calibri" w:hAnsi="Calibri" w:eastAsia="Calibri"/>
                <w:b w:val="0"/>
                <w:sz w:val="16"/>
              </w:rPr>
              <w:t>Governed intake and conflict transparency behave as required, with structured state persisted and contradictions surfaced rather than hidden.</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structured state persists outside raw conversational history, contradictions remain explicit in run and planner-facing records, and no silent conflict suppression occurs.</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TC-NFR-AI-01</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NFR-AI-01</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LLM Assistance Control Layer</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PromptGovernanceRecord</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Governance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LLM-assisted behavior shall remain bounded, auditable, and subordinate to deterministic validation and canonical-state governance.</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Governed LLM-assisted run containing supported use cases and intentionally unsupported evidence scenarios.</w:t>
            </w:r>
          </w:p>
          <w:p>
            <w:pPr>
              <w:spacing w:after="20" w:line="240" w:lineRule="auto"/>
            </w:pPr>
            <w:r>
              <w:rPr>
                <w:rFonts w:ascii="Calibri" w:hAnsi="Calibri" w:eastAsia="Calibri"/>
                <w:b/>
                <w:sz w:val="16"/>
              </w:rPr>
              <w:t xml:space="preserve">Procedure: </w:t>
            </w:r>
            <w:r>
              <w:rPr>
                <w:rFonts w:ascii="Calibri" w:hAnsi="Calibri" w:eastAsia="Calibri"/>
                <w:b w:val="0"/>
                <w:sz w:val="16"/>
              </w:rPr>
              <w:t>Execute the governed LLM-assisted workflow for the allowed use case set and verify bounded ai behavior. Inspect bounded-use enforcement, governance logging, validation gates, and explicit gap handling where evidence is absent.</w:t>
            </w:r>
          </w:p>
          <w:p>
            <w:pPr>
              <w:spacing w:after="20" w:line="240" w:lineRule="auto"/>
            </w:pPr>
            <w:r>
              <w:rPr>
                <w:rFonts w:ascii="Calibri" w:hAnsi="Calibri" w:eastAsia="Calibri"/>
                <w:b/>
                <w:sz w:val="16"/>
              </w:rPr>
              <w:t xml:space="preserve">Expected outcome: </w:t>
            </w:r>
            <w:r>
              <w:rPr>
                <w:rFonts w:ascii="Calibri" w:hAnsi="Calibri" w:eastAsia="Calibri"/>
                <w:b w:val="0"/>
                <w:sz w:val="16"/>
              </w:rPr>
              <w:t>LLM-assisted behavior remains bounded and auditable, and unsupported engineering facts are represented as gaps, assumptions, bounds, or review-required states.</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bounded-governance records exist for the controlled AI workflow, unsupported engineering facts are not fabricated, and missing evidence is represented through gaps, assumptions, bounds, or review-required status.</w:t>
            </w:r>
          </w:p>
        </w:tc>
      </w:tr>
      <w:tr>
        <w:trPr>
          <w:cantSplit/>
        </w:trPr>
        <w:tc>
          <w:tcPr>
            <w:tcW w:type="dxa" w:w="1152"/>
            <w:vAlign w:val="center"/>
            <w:tcMar>
              <w:top w:w="80" w:type="dxa"/>
              <w:start w:w="85" w:type="dxa"/>
              <w:bottom w:w="80" w:type="dxa"/>
              <w:end w:w="85" w:type="dxa"/>
            </w:tcMar>
            <w:shd w:fill="F7FBFF"/>
          </w:tcPr>
          <w:p>
            <w:pPr>
              <w:spacing w:after="40" w:line="240" w:lineRule="auto"/>
            </w:pPr>
            <w:r>
              <w:rPr>
                <w:rFonts w:ascii="Calibri" w:hAnsi="Calibri" w:eastAsia="Calibri"/>
                <w:b/>
                <w:sz w:val="16"/>
              </w:rPr>
              <w:t>TC-NFR-AI-02</w:t>
            </w:r>
          </w:p>
        </w:tc>
        <w:tc>
          <w:tcPr>
            <w:tcW w:type="dxa" w:w="1339"/>
            <w:vAlign w:val="center"/>
            <w:tcMar>
              <w:top w:w="80" w:type="dxa"/>
              <w:start w:w="85" w:type="dxa"/>
              <w:bottom w:w="80" w:type="dxa"/>
              <w:end w:w="85" w:type="dxa"/>
            </w:tcMar>
            <w:shd w:fill="F7FBFF"/>
          </w:tcPr>
          <w:p>
            <w:pPr>
              <w:spacing w:after="40" w:line="240" w:lineRule="auto"/>
            </w:pPr>
            <w:r>
              <w:rPr>
                <w:rFonts w:ascii="Calibri" w:hAnsi="Calibri" w:eastAsia="Calibri"/>
                <w:b/>
                <w:sz w:val="16"/>
              </w:rPr>
              <w:t>NFR-AI-02</w:t>
            </w:r>
          </w:p>
        </w:tc>
        <w:tc>
          <w:tcPr>
            <w:tcW w:type="dxa" w:w="2477"/>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Normalization and Deterministic Validation Service</w:t>
            </w:r>
          </w:p>
        </w:tc>
        <w:tc>
          <w:tcPr>
            <w:tcW w:type="dxa" w:w="2189"/>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ReviewFlag</w:t>
            </w:r>
          </w:p>
        </w:tc>
        <w:tc>
          <w:tcPr>
            <w:tcW w:type="dxa" w:w="138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System Test</w:t>
            </w:r>
          </w:p>
        </w:tc>
        <w:tc>
          <w:tcPr>
            <w:tcW w:type="dxa" w:w="3672"/>
            <w:vAlign w:val="center"/>
            <w:tcMar>
              <w:top w:w="80" w:type="dxa"/>
              <w:start w:w="85" w:type="dxa"/>
              <w:bottom w:w="80" w:type="dxa"/>
              <w:end w:w="85" w:type="dxa"/>
            </w:tcMar>
            <w:shd w:fill="F7FBFF"/>
          </w:tcPr>
          <w:p>
            <w:pPr>
              <w:spacing w:after="40" w:line="240" w:lineRule="auto"/>
            </w:pPr>
            <w:r>
              <w:rPr>
                <w:rFonts w:ascii="Calibri" w:hAnsi="Calibri" w:eastAsia="Calibri"/>
                <w:b w:val="0"/>
                <w:sz w:val="16"/>
              </w:rPr>
              <w:t>The system shall not fabricate engineering facts when evidence is absent; uncertainty shall be expressed through gaps, assumptions, bounds, or review-required states.</w:t>
            </w:r>
          </w:p>
        </w:tc>
        <w:tc>
          <w:tcPr>
            <w:tcW w:type="dxa" w:w="4104"/>
            <w:vAlign w:val="center"/>
            <w:tcMar>
              <w:top w:w="80" w:type="dxa"/>
              <w:start w:w="85" w:type="dxa"/>
              <w:bottom w:w="80" w:type="dxa"/>
              <w:end w:w="85" w:type="dxa"/>
            </w:tcMar>
            <w:shd w:fill="F7FBFF"/>
            <w:shd w:fill="F7FBFF"/>
          </w:tcPr>
          <w:p>
            <w:pPr>
              <w:spacing w:after="20" w:line="240" w:lineRule="auto"/>
            </w:pPr>
            <w:r/>
            <w:r>
              <w:rPr>
                <w:rFonts w:ascii="Calibri" w:hAnsi="Calibri" w:eastAsia="Calibri"/>
                <w:b/>
                <w:sz w:val="16"/>
              </w:rPr>
              <w:t xml:space="preserve">Test data: </w:t>
            </w:r>
            <w:r>
              <w:rPr>
                <w:rFonts w:ascii="Calibri" w:hAnsi="Calibri" w:eastAsia="Calibri"/>
                <w:b w:val="0"/>
                <w:sz w:val="16"/>
              </w:rPr>
              <w:t>Governed LLM-assisted run containing supported use cases and intentionally unsupported evidence scenarios.</w:t>
            </w:r>
          </w:p>
          <w:p>
            <w:pPr>
              <w:spacing w:after="20" w:line="240" w:lineRule="auto"/>
            </w:pPr>
            <w:r>
              <w:rPr>
                <w:rFonts w:ascii="Calibri" w:hAnsi="Calibri" w:eastAsia="Calibri"/>
                <w:b/>
                <w:sz w:val="16"/>
              </w:rPr>
              <w:t xml:space="preserve">Procedure: </w:t>
            </w:r>
            <w:r>
              <w:rPr>
                <w:rFonts w:ascii="Calibri" w:hAnsi="Calibri" w:eastAsia="Calibri"/>
                <w:b w:val="0"/>
                <w:sz w:val="16"/>
              </w:rPr>
              <w:t>Execute the governed LLM-assisted workflow for the allowed use case set and verify gap handling. Inspect bounded-use enforcement, governance logging, validation gates, and explicit gap handling where evidence is absent.</w:t>
            </w:r>
          </w:p>
          <w:p>
            <w:pPr>
              <w:spacing w:after="20" w:line="240" w:lineRule="auto"/>
            </w:pPr>
            <w:r>
              <w:rPr>
                <w:rFonts w:ascii="Calibri" w:hAnsi="Calibri" w:eastAsia="Calibri"/>
                <w:b/>
                <w:sz w:val="16"/>
              </w:rPr>
              <w:t xml:space="preserve">Expected outcome: </w:t>
            </w:r>
            <w:r>
              <w:rPr>
                <w:rFonts w:ascii="Calibri" w:hAnsi="Calibri" w:eastAsia="Calibri"/>
                <w:b w:val="0"/>
                <w:sz w:val="16"/>
              </w:rPr>
              <w:t>LLM-assisted behavior remains bounded and auditable, and unsupported engineering facts are represented as gaps, assumptions, bounds, or review-required states.</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bounded-governance records exist for the controlled AI workflow, unsupported engineering facts are not fabricated, and missing evidence is represented through gaps, assumptions, bounds, or review-required status.</w:t>
            </w:r>
          </w:p>
        </w:tc>
      </w:tr>
      <w:tr>
        <w:trPr>
          <w:cantSplit/>
        </w:trPr>
        <w:tc>
          <w:tcPr>
            <w:tcW w:type="dxa" w:w="1152"/>
            <w:vAlign w:val="center"/>
            <w:tcMar>
              <w:top w:w="80" w:type="dxa"/>
              <w:start w:w="85" w:type="dxa"/>
              <w:bottom w:w="80" w:type="dxa"/>
              <w:end w:w="85" w:type="dxa"/>
            </w:tcMar>
          </w:tcPr>
          <w:p>
            <w:pPr>
              <w:spacing w:after="40" w:line="240" w:lineRule="auto"/>
            </w:pPr>
            <w:r>
              <w:rPr>
                <w:rFonts w:ascii="Calibri" w:hAnsi="Calibri" w:eastAsia="Calibri"/>
                <w:b/>
                <w:sz w:val="16"/>
              </w:rPr>
              <w:t>TC-NFR-DAT-01</w:t>
            </w:r>
          </w:p>
        </w:tc>
        <w:tc>
          <w:tcPr>
            <w:tcW w:type="dxa" w:w="1339"/>
            <w:vAlign w:val="center"/>
            <w:tcMar>
              <w:top w:w="80" w:type="dxa"/>
              <w:start w:w="85" w:type="dxa"/>
              <w:bottom w:w="80" w:type="dxa"/>
              <w:end w:w="85" w:type="dxa"/>
            </w:tcMar>
          </w:tcPr>
          <w:p>
            <w:pPr>
              <w:spacing w:after="40" w:line="240" w:lineRule="auto"/>
            </w:pPr>
            <w:r>
              <w:rPr>
                <w:rFonts w:ascii="Calibri" w:hAnsi="Calibri" w:eastAsia="Calibri"/>
                <w:b/>
                <w:sz w:val="16"/>
              </w:rPr>
              <w:t>NFR-DAT-01</w:t>
            </w:r>
          </w:p>
        </w:tc>
        <w:tc>
          <w:tcPr>
            <w:tcW w:type="dxa" w:w="2477"/>
            <w:vAlign w:val="center"/>
            <w:tcMar>
              <w:top w:w="80" w:type="dxa"/>
              <w:start w:w="85" w:type="dxa"/>
              <w:bottom w:w="80" w:type="dxa"/>
              <w:end w:w="85" w:type="dxa"/>
            </w:tcMar>
          </w:tcPr>
          <w:p>
            <w:pPr>
              <w:spacing w:after="40" w:line="240" w:lineRule="auto"/>
            </w:pPr>
            <w:r>
              <w:rPr>
                <w:rFonts w:ascii="Calibri" w:hAnsi="Calibri" w:eastAsia="Calibri"/>
                <w:b w:val="0"/>
                <w:sz w:val="16"/>
              </w:rPr>
              <w:t>Canonical Facility State Service</w:t>
            </w:r>
          </w:p>
        </w:tc>
        <w:tc>
          <w:tcPr>
            <w:tcW w:type="dxa" w:w="2189"/>
            <w:vAlign w:val="center"/>
            <w:tcMar>
              <w:top w:w="80" w:type="dxa"/>
              <w:start w:w="85" w:type="dxa"/>
              <w:bottom w:w="80" w:type="dxa"/>
              <w:end w:w="85" w:type="dxa"/>
            </w:tcMar>
          </w:tcPr>
          <w:p>
            <w:pPr>
              <w:spacing w:after="40" w:line="240" w:lineRule="auto"/>
            </w:pPr>
            <w:r>
              <w:rPr>
                <w:rFonts w:ascii="Calibri" w:hAnsi="Calibri" w:eastAsia="Calibri"/>
                <w:b w:val="0"/>
                <w:sz w:val="16"/>
              </w:rPr>
              <w:t>CanonicalStateSnapshot</w:t>
            </w:r>
          </w:p>
        </w:tc>
        <w:tc>
          <w:tcPr>
            <w:tcW w:type="dxa" w:w="1382"/>
            <w:vAlign w:val="center"/>
            <w:tcMar>
              <w:top w:w="80" w:type="dxa"/>
              <w:start w:w="85" w:type="dxa"/>
              <w:bottom w:w="80" w:type="dxa"/>
              <w:end w:w="85" w:type="dxa"/>
            </w:tcMar>
          </w:tcPr>
          <w:p>
            <w:pPr>
              <w:spacing w:after="40" w:line="240" w:lineRule="auto"/>
            </w:pPr>
            <w:r>
              <w:rPr>
                <w:rFonts w:ascii="Calibri" w:hAnsi="Calibri" w:eastAsia="Calibri"/>
                <w:b w:val="0"/>
                <w:sz w:val="16"/>
              </w:rPr>
              <w:t>Regression Test</w:t>
            </w:r>
          </w:p>
        </w:tc>
        <w:tc>
          <w:tcPr>
            <w:tcW w:type="dxa" w:w="3672"/>
            <w:vAlign w:val="center"/>
            <w:tcMar>
              <w:top w:w="80" w:type="dxa"/>
              <w:start w:w="85" w:type="dxa"/>
              <w:bottom w:w="80" w:type="dxa"/>
              <w:end w:w="85" w:type="dxa"/>
            </w:tcMar>
          </w:tcPr>
          <w:p>
            <w:pPr>
              <w:spacing w:after="40" w:line="240" w:lineRule="auto"/>
            </w:pPr>
            <w:r>
              <w:rPr>
                <w:rFonts w:ascii="Calibri" w:hAnsi="Calibri" w:eastAsia="Calibri"/>
                <w:b w:val="0"/>
                <w:sz w:val="16"/>
              </w:rPr>
              <w:t>Canonical-state, schema, and run-lineage records shall be persisted in a manner that supports traceability, replay, and controlled evolution over time.</w:t>
            </w:r>
          </w:p>
        </w:tc>
        <w:tc>
          <w:tcPr>
            <w:tcW w:type="dxa" w:w="4104"/>
            <w:vAlign w:val="center"/>
            <w:tcMar>
              <w:top w:w="80" w:type="dxa"/>
              <w:start w:w="85" w:type="dxa"/>
              <w:bottom w:w="80" w:type="dxa"/>
              <w:end w:w="85" w:type="dxa"/>
            </w:tcMar>
          </w:tcPr>
          <w:p>
            <w:pPr>
              <w:spacing w:after="20" w:line="240" w:lineRule="auto"/>
            </w:pPr>
            <w:r/>
            <w:r>
              <w:rPr>
                <w:rFonts w:ascii="Calibri" w:hAnsi="Calibri" w:eastAsia="Calibri"/>
                <w:b/>
                <w:sz w:val="16"/>
              </w:rPr>
              <w:t xml:space="preserve">Test data: </w:t>
            </w:r>
            <w:r>
              <w:rPr>
                <w:rFonts w:ascii="Calibri" w:hAnsi="Calibri" w:eastAsia="Calibri"/>
                <w:b w:val="0"/>
                <w:sz w:val="16"/>
              </w:rPr>
              <w:t>Run-lineage fixture with schema versions, canonical snapshots, replay configuration, and version history enabled.</w:t>
            </w:r>
          </w:p>
          <w:p>
            <w:pPr>
              <w:spacing w:after="20" w:line="240" w:lineRule="auto"/>
            </w:pPr>
            <w:r>
              <w:rPr>
                <w:rFonts w:ascii="Calibri" w:hAnsi="Calibri" w:eastAsia="Calibri"/>
                <w:b/>
                <w:sz w:val="16"/>
              </w:rPr>
              <w:t xml:space="preserve">Procedure: </w:t>
            </w:r>
            <w:r>
              <w:rPr>
                <w:rFonts w:ascii="Calibri" w:hAnsi="Calibri" w:eastAsia="Calibri"/>
                <w:b w:val="0"/>
                <w:sz w:val="16"/>
              </w:rPr>
              <w:t>Execute the controlled run-lineage fixture and verify lineage persistence. Inspect persistence of schema versions, canonical snapshots, replay configuration, version history, and controlled evolution records.</w:t>
            </w:r>
          </w:p>
          <w:p>
            <w:pPr>
              <w:spacing w:after="20" w:line="240" w:lineRule="auto"/>
            </w:pPr>
            <w:r>
              <w:rPr>
                <w:rFonts w:ascii="Calibri" w:hAnsi="Calibri" w:eastAsia="Calibri"/>
                <w:b/>
                <w:sz w:val="16"/>
              </w:rPr>
              <w:t xml:space="preserve">Expected outcome: </w:t>
            </w:r>
            <w:r>
              <w:rPr>
                <w:rFonts w:ascii="Calibri" w:hAnsi="Calibri" w:eastAsia="Calibri"/>
                <w:b w:val="0"/>
                <w:sz w:val="16"/>
              </w:rPr>
              <w:t>Persistent lineage records preserve the schema, snapshot, and replay state required for controlled evolution over time.</w:t>
            </w:r>
          </w:p>
          <w:p>
            <w:pPr>
              <w:spacing w:after="20" w:line="240" w:lineRule="auto"/>
            </w:pPr>
            <w:r>
              <w:rPr>
                <w:rFonts w:ascii="Calibri" w:hAnsi="Calibri" w:eastAsia="Calibri"/>
                <w:b/>
                <w:sz w:val="16"/>
              </w:rPr>
              <w:t xml:space="preserve">Pass criteria: </w:t>
            </w:r>
            <w:r>
              <w:rPr>
                <w:rFonts w:ascii="Calibri" w:hAnsi="Calibri" w:eastAsia="Calibri"/>
                <w:b w:val="0"/>
                <w:sz w:val="16"/>
              </w:rPr>
              <w:t>PASS when required lineage records persist across the controlled run sequence, schema and snapshot versions are preserved, and replay or controlled evolution can be demonstrated from stored records.</w:t>
            </w:r>
          </w:p>
        </w:tc>
      </w:tr>
    </w:tbl>
    <w:p>
      <w:pPr>
        <w:spacing w:after="80"/>
      </w:pPr>
    </w:p>
    <w:p>
      <w:pPr>
        <w:spacing w:after="80"/>
        <w:sectPr>
          <w:pgSz w:w="15840" w:h="12240" w:orient="landscape"/>
          <w:pgMar w:top="792" w:right="792" w:bottom="792" w:left="792" w:header="720" w:footer="720" w:gutter="0"/>
          <w:cols w:space="720"/>
          <w:docGrid w:linePitch="360"/>
        </w:sectPr>
      </w:pPr>
    </w:p>
    <w:p>
      <w:pPr>
        <w:keepNext/>
        <w:spacing w:before="200" w:after="80"/>
      </w:pPr>
      <w:r>
        <w:rPr>
          <w:rFonts w:ascii="Aptos" w:hAnsi="Aptos" w:eastAsia="Aptos"/>
          <w:b/>
          <w:color w:val="1F4E79"/>
          <w:sz w:val="32"/>
        </w:rPr>
        <w:t>8. Scenario Validation, Reproducibility, and Failure Testing</w:t>
      </w:r>
    </w:p>
    <w:p>
      <w:pPr>
        <w:spacing w:after="80"/>
      </w:pPr>
      <w:r>
        <w:rPr>
          <w:rFonts w:ascii="Aptos" w:hAnsi="Aptos" w:eastAsia="Aptos"/>
          <w:sz w:val="22"/>
        </w:rPr>
        <w:t>Scenario validation shall verify that Typical, Conservative, and Best-case scenarios are generated only from approved bounded transformations and that scenario-specific overrides preserve rationale and linkage to the base parameter set. Reproducibility testing shall execute repeated runs under identical pinned configuration and confirm equivalent canonical snapshots, parameters, scenarios, and exports within documented tolerance. Failure and edge-case testing shall include incomplete artifact sets, scanned-document OCR degradation, missing evidence conditions, contradictory interview responses, conflicting source values, controlled export failures, and superseding calibration evidence.</w:t>
      </w:r>
    </w:p>
    <w:p>
      <w:pPr>
        <w:keepNext/>
        <w:spacing w:before="200" w:after="80"/>
      </w:pPr>
      <w:r>
        <w:rPr>
          <w:rFonts w:ascii="Aptos" w:hAnsi="Aptos" w:eastAsia="Aptos"/>
          <w:b/>
          <w:color w:val="1F4E79"/>
          <w:sz w:val="32"/>
        </w:rPr>
        <w:t>9. Acceptance Criteria</w:t>
      </w:r>
    </w:p>
    <w:p>
      <w:pPr>
        <w:spacing w:after="80"/>
      </w:pPr>
      <w:r>
        <w:rPr>
          <w:rFonts w:ascii="Aptos" w:hAnsi="Aptos" w:eastAsia="Aptos"/>
          <w:b/>
          <w:sz w:val="22"/>
        </w:rPr>
        <w:t xml:space="preserve">• </w:t>
      </w:r>
      <w:r>
        <w:rPr>
          <w:rFonts w:ascii="Aptos" w:hAnsi="Aptos" w:eastAsia="Aptos"/>
          <w:sz w:val="22"/>
        </w:rPr>
        <w:t>Every SRS requirement is represented by one TPVD test case with executed evidence and final disposition.</w:t>
      </w:r>
    </w:p>
    <w:p>
      <w:pPr>
        <w:spacing w:after="80"/>
      </w:pPr>
      <w:r>
        <w:rPr>
          <w:rFonts w:ascii="Aptos" w:hAnsi="Aptos" w:eastAsia="Aptos"/>
          <w:b/>
          <w:sz w:val="22"/>
        </w:rPr>
        <w:t xml:space="preserve">• </w:t>
      </w:r>
      <w:r>
        <w:rPr>
          <w:rFonts w:ascii="Aptos" w:hAnsi="Aptos" w:eastAsia="Aptos"/>
          <w:sz w:val="22"/>
        </w:rPr>
        <w:t>All release-blocking defects discovered during TPVD execution are resolved or formally dispositioned before release baseline approval.</w:t>
      </w:r>
    </w:p>
    <w:p>
      <w:pPr>
        <w:spacing w:after="80"/>
      </w:pPr>
      <w:r>
        <w:rPr>
          <w:rFonts w:ascii="Aptos" w:hAnsi="Aptos" w:eastAsia="Aptos"/>
          <w:b/>
          <w:sz w:val="22"/>
        </w:rPr>
        <w:t xml:space="preserve">• </w:t>
      </w:r>
      <w:r>
        <w:rPr>
          <w:rFonts w:ascii="Aptos" w:hAnsi="Aptos" w:eastAsia="Aptos"/>
          <w:sz w:val="22"/>
        </w:rPr>
        <w:t>All authoritative outputs remain traceable to evidence, deterministic rules, assumptions, or explicit conflict states.</w:t>
      </w:r>
    </w:p>
    <w:p>
      <w:pPr>
        <w:spacing w:after="80"/>
      </w:pPr>
      <w:r>
        <w:rPr>
          <w:rFonts w:ascii="Aptos" w:hAnsi="Aptos" w:eastAsia="Aptos"/>
          <w:b/>
          <w:sz w:val="22"/>
        </w:rPr>
        <w:t xml:space="preserve">• </w:t>
      </w:r>
      <w:r>
        <w:rPr>
          <w:rFonts w:ascii="Aptos" w:hAnsi="Aptos" w:eastAsia="Aptos"/>
          <w:sz w:val="22"/>
        </w:rPr>
        <w:t>Replay and version-difference behavior is demonstrated for the controlled release baseline.</w:t>
      </w:r>
    </w:p>
    <w:p>
      <w:pPr>
        <w:spacing w:after="80"/>
      </w:pPr>
      <w:r>
        <w:rPr>
          <w:rFonts w:ascii="Aptos" w:hAnsi="Aptos" w:eastAsia="Aptos"/>
          <w:b/>
          <w:sz w:val="22"/>
        </w:rPr>
        <w:t xml:space="preserve">• </w:t>
      </w:r>
      <w:r>
        <w:rPr>
          <w:rFonts w:ascii="Aptos" w:hAnsi="Aptos" w:eastAsia="Aptos"/>
          <w:sz w:val="22"/>
        </w:rPr>
        <w:t>Security, governance, auditability, retention, and data-lineage controls are demonstrated in the controlled environment.</w:t>
      </w:r>
    </w:p>
    <w:p>
      <w:pPr>
        <w:keepNext/>
        <w:spacing w:before="200" w:after="80"/>
      </w:pPr>
      <w:r>
        <w:rPr>
          <w:rFonts w:ascii="Aptos" w:hAnsi="Aptos" w:eastAsia="Aptos"/>
          <w:b/>
          <w:color w:val="1F4E79"/>
          <w:sz w:val="32"/>
        </w:rPr>
        <w:t>10. Coverage Summary</w:t>
      </w:r>
    </w:p>
    <w:p>
      <w:pPr>
        <w:spacing w:after="80"/>
      </w:pPr>
      <w:r>
        <w:rPr>
          <w:rFonts w:ascii="Aptos" w:hAnsi="Aptos" w:eastAsia="Aptos"/>
          <w:sz w:val="22"/>
        </w:rPr>
        <w:t>The governing SRS defines 60 total requirements for GridSenpAI. The approved RTM contains 60 requirement mappings. This TPVD contains one deterministic test case for each requirement and preserves the requirement-to-component-to-data-to-verification chain required for repository-grade release verification.</w:t>
      </w:r>
    </w:p>
    <w:p>
      <w:pPr>
        <w:keepNext/>
        <w:spacing w:before="200" w:after="80"/>
      </w:pPr>
      <w:r>
        <w:rPr>
          <w:rFonts w:ascii="Aptos" w:hAnsi="Aptos" w:eastAsia="Aptos"/>
          <w:b/>
          <w:color w:val="1F4E79"/>
          <w:sz w:val="32"/>
        </w:rPr>
        <w:t>11. Official TPVD Conclusion</w:t>
      </w:r>
    </w:p>
    <w:p>
      <w:pPr>
        <w:spacing w:after="80"/>
      </w:pPr>
      <w:r>
        <w:rPr>
          <w:rFonts w:ascii="Aptos" w:hAnsi="Aptos" w:eastAsia="Aptos"/>
          <w:sz w:val="22"/>
        </w:rPr>
        <w:t>This TPVD establishes the official verification baseline for GridSenpAI. It is aligned to the governing SRS, the approved DSD/DCD architecture, the approved DMD canonical data model, and the approved RTM traceability matrix. Successful execution of the controlled procedures defined in this document demonstrates requirement-level conformance for the GridSenpAI production baseline.</w:t>
      </w:r>
    </w:p>
    <w:sectPr w:rsidR="00FC693F" w:rsidRPr="0006063C" w:rsidSect="00034616">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