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GridSenpAI</w:t>
        <w:br/>
      </w:r>
      <w:r>
        <w:rPr>
          <w:b/>
          <w:sz w:val="30"/>
        </w:rPr>
        <w:t>Requirements Traceability Matrix (RTM)</w:t>
      </w:r>
    </w:p>
    <w:p>
      <w:pPr>
        <w:jc w:val="center"/>
      </w:pPr>
      <w:r>
        <w:rPr>
          <w:sz w:val="18"/>
        </w:rPr>
        <w:t>Version: 2.0</w:t>
      </w:r>
    </w:p>
    <w:p>
      <w:pPr>
        <w:jc w:val="center"/>
      </w:pPr>
      <w:r>
        <w:rPr>
          <w:sz w:val="18"/>
        </w:rPr>
        <w:t>Date: March 06, 2026</w:t>
      </w:r>
    </w:p>
    <w:p>
      <w:pPr>
        <w:jc w:val="center"/>
      </w:pPr>
      <w:r>
        <w:rPr>
          <w:sz w:val="18"/>
        </w:rPr>
        <w:t>Project: GridSenpAI</w:t>
      </w:r>
    </w:p>
    <w:p/>
    <w:p>
      <w:pPr/>
      <w:r>
        <w:rPr>
          <w:b/>
        </w:rPr>
        <w:t xml:space="preserve">Purpose. </w:t>
      </w:r>
      <w:r>
        <w:t>This Requirements Traceability Matrix (RTM) provides traceability between the requirements defined in the GridSenpAI Software Requirements Specification (SRS), the current microservice architecture defined in the DSD/DCD, and the verification activities used to validate implementation. Each requirement is mapped to one or more architectural services and a defined verification method so that implementation and test coverage remain explicit and reviewable.</w:t>
      </w:r>
    </w:p>
    <w:p>
      <w:r>
        <w:rPr>
          <w:b/>
        </w:rPr>
        <w:t xml:space="preserve">Artifact Alignment. </w:t>
      </w:r>
      <w:r>
        <w:t>This RTM aligns to the current project artifact set: SRS → DSD/DCD → DMD → RTM → TPVD. It uses the exact current DSD/DCD service names and reflects the governance architecture introduced for canonical state management, prompt construction, run lineage, and review-controlled publication.</w:t>
      </w:r>
    </w:p>
    <w:p>
      <w:pPr>
        <w:pStyle w:val="Heading1"/>
      </w:pPr>
      <w:r>
        <w:t>Traceability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rPr>
          <w:tblHeader w:val="true"/>
          <w:cantSplit/>
        </w:trPr>
        <w:tc>
          <w:tcPr>
            <w:tcW w:type="dxa" w:w="1152"/>
            <w:vAlign w:val="center"/>
            <w:shd w:fill="D9E2F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Requirement ID</w:t>
            </w:r>
          </w:p>
        </w:tc>
        <w:tc>
          <w:tcPr>
            <w:tcW w:type="dxa" w:w="3600"/>
            <w:vAlign w:val="center"/>
            <w:shd w:fill="D9E2F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Requirement Description</w:t>
            </w:r>
          </w:p>
        </w:tc>
        <w:tc>
          <w:tcPr>
            <w:tcW w:type="dxa" w:w="4320"/>
            <w:vAlign w:val="center"/>
            <w:shd w:fill="D9E2F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System Component(s)</w:t>
            </w:r>
          </w:p>
        </w:tc>
        <w:tc>
          <w:tcPr>
            <w:tcW w:type="dxa" w:w="1584"/>
            <w:vAlign w:val="center"/>
            <w:shd w:fill="D9E2F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Verification Method</w:t>
            </w:r>
          </w:p>
        </w:tc>
        <w:tc>
          <w:tcPr>
            <w:tcW w:type="dxa" w:w="4464"/>
            <w:vAlign w:val="center"/>
            <w:shd w:fill="D9E2F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Test Description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FR1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Ingest facility electrical design artifacts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API Gateway / Web UI; Document Ingestion Service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Integration Test</w:t>
            </w:r>
          </w:p>
        </w:tc>
        <w:tc>
          <w:tcPr>
            <w:tcW w:type="dxa" w:w="446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Upload representative engineering artifacts and verify successful upload orchestration, artifact registration, storage pointer creation, and indexing initiation.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FR2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Parse ingested documents and extract structured entities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Parsing &amp; Entity Extraction Service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Unit Test</w:t>
            </w:r>
          </w:p>
        </w:tc>
        <w:tc>
          <w:tcPr>
            <w:tcW w:type="dxa" w:w="446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Provide representative facility documents and verify extraction of equipment types, ratings, settings, and topology cues with preserved source anchors.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FR3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Retrieve vendor specification details and modeling references using RAG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Knowledge Retrieval (RAG) Service; Prompt Builder Service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Integration Test</w:t>
            </w:r>
          </w:p>
        </w:tc>
        <w:tc>
          <w:tcPr>
            <w:tcW w:type="dxa" w:w="446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Submit known equipment and modeling-reference queries and verify retrieval of correct evidence snippets, stable snippet identifiers, and run-scoped evidence bundles for downstream use.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FR4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Normalize extracted inputs into GridSenpAI input schema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Normalization &amp; Schema Validation Service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Unit Test</w:t>
            </w:r>
          </w:p>
        </w:tc>
        <w:tc>
          <w:tcPr>
            <w:tcW w:type="dxa" w:w="446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Feed extraction results and verify normalized values, canonical units, required-field checks, and conformance to GridSenpAI_inputs_schema.json.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FR5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Generate transmission-planner-ready modeling outputs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Parameter Translation Service; Prompt Builder Service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System Test</w:t>
            </w:r>
          </w:p>
        </w:tc>
        <w:tc>
          <w:tcPr>
            <w:tcW w:type="dxa" w:w="446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Provide normalized inputs and evidence bundle and verify generation of planner-ready parameters aligned to GridSenpAI_outputs_schema.json.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FR6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Output modeling packet including parameters, assumptions, confidence tags, and citations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Parameter Translation Service; Output Packaging &amp; Export Service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System Test</w:t>
            </w:r>
          </w:p>
        </w:tc>
        <w:tc>
          <w:tcPr>
            <w:tcW w:type="dxa" w:w="446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Generate a modeling packet and confirm that parameters, assumptions, confidence tags, and citations are present and that each parameter links to evidence, a rule, or an explicit assumption.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FR7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Generate multiple modeling scenarios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Scenario Generation Service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System Test</w:t>
            </w:r>
          </w:p>
        </w:tc>
        <w:tc>
          <w:tcPr>
            <w:tcW w:type="dxa" w:w="446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Verify generation of Typical, Conservative, and Best-Case scenarios with explicit parameter bounds, labels, and rationale.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FR8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Identify missing or ambiguous information and generate follow-up questions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Normalization &amp; Schema Validation Service; API Gateway / Web UI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Unit Test</w:t>
            </w:r>
          </w:p>
        </w:tc>
        <w:tc>
          <w:tcPr>
            <w:tcW w:type="dxa" w:w="446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Provide incomplete or ambiguous inputs and verify creation and presentation of a structured missing-data list and targeted follow-up questions.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FR9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Support export formats including structured JSON and human-readable reports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Output Packaging &amp; Export Service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Integration Test</w:t>
            </w:r>
          </w:p>
        </w:tc>
        <w:tc>
          <w:tcPr>
            <w:tcW w:type="dxa" w:w="446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Generate export artifacts and verify valid JSON outputs, Word/PDF report packet creation, and export manifest integrity.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FR10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Support re-run and versioning of model outputs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Run Management &amp; Versioning Service; Output Packaging &amp; Export Service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System Test</w:t>
            </w:r>
          </w:p>
        </w:tc>
        <w:tc>
          <w:tcPr>
            <w:tcW w:type="dxa" w:w="446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Update inputs and verify new run version creation, lineage preservation, parameter-difference computation, and changelog generation.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FR11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Support validation workflow with telemetry or commissioning data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Calibration Service; Run Management &amp; Versioning Service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System Test</w:t>
            </w:r>
          </w:p>
        </w:tc>
        <w:tc>
          <w:tcPr>
            <w:tcW w:type="dxa" w:w="446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Submit telemetry or commissioning observations and verify parameter updates, confidence adjustments, retained history, and version-preserving calibration lineage.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NFR1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Enforce least-privilege access control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API Gateway / Web UI; Identity and Access Management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Security Test</w:t>
            </w:r>
          </w:p>
        </w:tc>
        <w:tc>
          <w:tcPr>
            <w:tcW w:type="dxa" w:w="446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Verify project-scoped role-based access restrictions for Engineer, Planner, Administrator, and Auditor roles.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NFR2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Encrypt documents at rest and in transit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Object Storage Layer; Key Management Service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Security Test</w:t>
            </w:r>
          </w:p>
        </w:tc>
        <w:tc>
          <w:tcPr>
            <w:tcW w:type="dxa" w:w="446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Verify encryption at rest for stored artifacts and TLS protection for data in transit.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NFR3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Log system access and model-generation events for audit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Run Management &amp; Versioning Service; Platform Observability / Logging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Audit Test</w:t>
            </w:r>
          </w:p>
        </w:tc>
        <w:tc>
          <w:tcPr>
            <w:tcW w:type="dxa" w:w="446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Confirm logs record document access, run execution, export actions, and other auditable system events required by the architecture.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NFR4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Ensure parameter traceability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Parameter Translation Service; Output Packaging &amp; Export Service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System Test</w:t>
            </w:r>
          </w:p>
        </w:tc>
        <w:tc>
          <w:tcPr>
            <w:tcW w:type="dxa" w:w="446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Verify every output parameter contains a provenance reference to a source document/snippet, rule identifier, or explicit assumption.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NFR5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Ensure reproducible outputs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Run Management &amp; Versioning Service; Canonical State Service; Prompt Builder Service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Regression Test</w:t>
            </w:r>
          </w:p>
        </w:tc>
        <w:tc>
          <w:tcPr>
            <w:tcW w:type="dxa" w:w="446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Execute identical runs with pinned configuration and verify reproducible outputs within tolerance using run lineage, prompt versioning, and canonical-state references.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NFR6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Meet acceptable performance timelines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Processing Pipeline Services; Infrastructure Platform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Performance Test</w:t>
            </w:r>
          </w:p>
        </w:tc>
        <w:tc>
          <w:tcPr>
            <w:tcW w:type="dxa" w:w="446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Process a representative submission set and measure completion time against defined operational workflow expectations.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NFR7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Provide enterprise-grade availability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Deployment Infrastructure; Service Orchestration Platform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Availability Test</w:t>
            </w:r>
          </w:p>
        </w:tc>
        <w:tc>
          <w:tcPr>
            <w:tcW w:type="dxa" w:w="446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Simulate service disruption and verify service recovery, preserved run state, and continued platform availability.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NFR8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Support configurable data retention policies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Object Storage; Retention Policy Management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7"/>
              </w:rPr>
              <w:t>Compliance Test</w:t>
            </w:r>
          </w:p>
        </w:tc>
        <w:tc>
          <w:tcPr>
            <w:tcW w:type="dxa" w:w="446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7"/>
              </w:rPr>
              <w:t>Verify configured retention, deletion, and legal-hold controls are enforced for proprietary project artifacts and exports.</w:t>
            </w:r>
          </w:p>
        </w:tc>
      </w:tr>
    </w:tbl>
    <w:p/>
    <w:p>
      <w:pPr>
        <w:pStyle w:val="Heading1"/>
      </w:pPr>
      <w:r>
        <w:t>Verification Strategy</w:t>
      </w:r>
    </w:p>
    <w:p>
      <w:r>
        <w:t>Verification activities include unit testing of extraction, normalization, and deterministic rules; integration testing of ingestion, retrieval, and export workflows; system testing of translation, scenario generation, packaging, rerun/versioning, and calibration behaviors; security testing of access control and encryption mechanisms; audit testing of required logging behavior; performance testing of representative submission processing; availability testing of service recovery behavior; and compliance testing of retention and deletion enforcement.</w:t>
      </w:r>
    </w:p>
    <w:p>
      <w:pPr>
        <w:pStyle w:val="Heading1"/>
      </w:pPr>
      <w:r>
        <w:t>Traceability Coverage</w:t>
      </w:r>
    </w:p>
    <w:p>
      <w:r>
        <w:t>All functional requirements (FR1–FR11) and non-functional requirements (NFR1–NFR8) defined in the current Software Requirements Specification are represented in this RTM. Each requirement is linked to one or more current architectural services from the DSD/DCD and a defined verification method suitable for validation planning and downstream TPVD development.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