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7E7C" w14:textId="77777777" w:rsidR="00E66CD3" w:rsidRDefault="00000000">
      <w:pPr>
        <w:pStyle w:val="Heading1"/>
      </w:pPr>
      <w:r>
        <w:t>GridSenpAI – IBM Watson Native Architecture</w:t>
      </w:r>
    </w:p>
    <w:p w14:paraId="0C562288" w14:textId="533146BB" w:rsidR="00E66CD3" w:rsidRDefault="00000000">
      <w:r>
        <w:t xml:space="preserve">This diagram illustrates how the GridSenpAI microservices architecture maps onto the IBM Cloud and Watson ecosystem. The system </w:t>
      </w:r>
      <w:r w:rsidR="00F134AC">
        <w:t>can use</w:t>
      </w:r>
      <w:r>
        <w:t xml:space="preserve"> API Connect for entry routing, OpenShift for microservices execution, Watsonx.ai for AI inference, Watson Discovery for retrieval‑augmented generation, and IBM cloud data services for persistence and monitoring.</w:t>
      </w:r>
      <w:r w:rsidR="00F134AC">
        <w:t xml:space="preserve"> T</w:t>
      </w:r>
      <w:r w:rsidR="00F134AC" w:rsidRPr="00F134AC">
        <w:t>he architecture is platform-agnostic and may be implemented using IBM services such as API Connect, OpenShift, Watsonx.ai.</w:t>
      </w:r>
    </w:p>
    <w:p w14:paraId="5F7779D2" w14:textId="77777777" w:rsidR="00E66CD3" w:rsidRDefault="00000000">
      <w:r>
        <w:rPr>
          <w:noProof/>
        </w:rPr>
        <w:drawing>
          <wp:inline distT="0" distB="0" distL="0" distR="0" wp14:anchorId="058952E5" wp14:editId="003DDA5C">
            <wp:extent cx="5943600" cy="3497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SenpAI_IBM_Watso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166203">
    <w:abstractNumId w:val="8"/>
  </w:num>
  <w:num w:numId="2" w16cid:durableId="1184591809">
    <w:abstractNumId w:val="6"/>
  </w:num>
  <w:num w:numId="3" w16cid:durableId="1950968875">
    <w:abstractNumId w:val="5"/>
  </w:num>
  <w:num w:numId="4" w16cid:durableId="1277374119">
    <w:abstractNumId w:val="4"/>
  </w:num>
  <w:num w:numId="5" w16cid:durableId="1603420491">
    <w:abstractNumId w:val="7"/>
  </w:num>
  <w:num w:numId="6" w16cid:durableId="1243753509">
    <w:abstractNumId w:val="3"/>
  </w:num>
  <w:num w:numId="7" w16cid:durableId="1715421459">
    <w:abstractNumId w:val="2"/>
  </w:num>
  <w:num w:numId="8" w16cid:durableId="1697267798">
    <w:abstractNumId w:val="1"/>
  </w:num>
  <w:num w:numId="9" w16cid:durableId="68741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136"/>
    <w:rsid w:val="0029639D"/>
    <w:rsid w:val="00326F90"/>
    <w:rsid w:val="00AA1D8D"/>
    <w:rsid w:val="00B47730"/>
    <w:rsid w:val="00CB0664"/>
    <w:rsid w:val="00E66CD3"/>
    <w:rsid w:val="00F13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BFA09"/>
  <w14:defaultImageDpi w14:val="300"/>
  <w15:docId w15:val="{EB240534-3A64-47C9-856F-4B49D88B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Thad M</cp:lastModifiedBy>
  <cp:revision>2</cp:revision>
  <dcterms:created xsi:type="dcterms:W3CDTF">2013-12-23T23:15:00Z</dcterms:created>
  <dcterms:modified xsi:type="dcterms:W3CDTF">2026-03-06T20:28:00Z</dcterms:modified>
  <cp:category/>
</cp:coreProperties>
</file>