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GridSenpAI Data Schema Documentation</w:t>
      </w:r>
    </w:p>
    <w:p>
      <w:pPr>
        <w:jc w:val="center"/>
      </w:pPr>
      <w:r>
        <w:rPr>
          <w:i/>
          <w:sz w:val="20"/>
        </w:rPr>
        <w:t>Platform-agnostic architecture with example IBM implementation references in parentheses</w:t>
      </w:r>
    </w:p>
    <w:p>
      <w:pPr>
        <w:pStyle w:val="Heading1"/>
      </w:pPr>
      <w:r>
        <w:rPr>
          <w:b/>
        </w:rPr>
        <w:t>1. Purpose</w:t>
      </w:r>
    </w:p>
    <w:p>
      <w:r>
        <w:t>This document defines the structured schemas used by GridSenpAI to ingest facility engineering data, manage intermediate processing artifacts, and produce transmission-planning-ready model outputs. It is aligned to the current SRS, DSD/DCD, DMD, RTM, and TPVD artifact set.</w:t>
      </w:r>
    </w:p>
    <w:p>
      <w:pPr>
        <w:pStyle w:val="Heading1"/>
      </w:pPr>
      <w:r>
        <w:rPr>
          <w:b/>
        </w:rPr>
        <w:t>2. Schema Design Principles</w:t>
      </w:r>
    </w:p>
    <w:p>
      <w:pPr>
        <w:pStyle w:val="ListBullet"/>
      </w:pPr>
      <w:r>
        <w:t>Schema-first contracts govern all service boundaries.</w:t>
      </w:r>
    </w:p>
    <w:p>
      <w:pPr>
        <w:pStyle w:val="ListBullet"/>
      </w:pPr>
      <w:r>
        <w:t>Unknown values remain null or omitted and must never be fabricated.</w:t>
      </w:r>
    </w:p>
    <w:p>
      <w:pPr>
        <w:pStyle w:val="ListBullet"/>
      </w:pPr>
      <w:r>
        <w:t>Every exported parameter must include provenance and confidence metadata.</w:t>
      </w:r>
    </w:p>
    <w:p>
      <w:pPr>
        <w:pStyle w:val="ListBullet"/>
      </w:pPr>
      <w:r>
        <w:t>Intermediate run artifacts must remain reconstructable through run lineage.</w:t>
      </w:r>
    </w:p>
    <w:p>
      <w:pPr>
        <w:pStyle w:val="ListBullet"/>
      </w:pPr>
      <w:r>
        <w:t>Implementations may use enterprise ingestion, search, and model platforms (for example IBM Watson Discovery and watsonx.ai), but the schema design remains platform-agnostic.</w:t>
      </w:r>
    </w:p>
    <w:p>
      <w:pPr>
        <w:pStyle w:val="Heading1"/>
      </w:pPr>
      <w:r>
        <w:rPr>
          <w:b/>
        </w:rPr>
        <w:t>3. Core Processing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center"/>
          </w:tcPr>
          <w:p>
            <w:r>
              <w:t>Element</w:t>
            </w:r>
          </w:p>
        </w:tc>
        <w:tc>
          <w:tcPr>
            <w:tcW w:type="dxa" w:w="6912"/>
            <w:vAlign w:val="center"/>
          </w:tcPr>
          <w:p>
            <w: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Project</w:t>
            </w:r>
          </w:p>
        </w:tc>
        <w:tc>
          <w:tcPr>
            <w:tcW w:type="dxa" w:w="6912"/>
            <w:vAlign w:val="center"/>
          </w:tcPr>
          <w:p>
            <w:r>
              <w:t>Top-level workspace and access boundary for a facility evaluation.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Artifact</w:t>
            </w:r>
          </w:p>
        </w:tc>
        <w:tc>
          <w:tcPr>
            <w:tcW w:type="dxa" w:w="6912"/>
            <w:vAlign w:val="center"/>
          </w:tcPr>
          <w:p>
            <w:r>
              <w:t>Submitted engineering document or file reference used during analysis.</w:t>
            </w:r>
          </w:p>
        </w:tc>
      </w:tr>
      <w:tr>
        <w:tc>
          <w:tcPr>
            <w:tcW w:type="dxa" w:w="2880"/>
            <w:vAlign w:val="center"/>
          </w:tcPr>
          <w:p>
            <w:r>
              <w:t>IndexChunk</w:t>
            </w:r>
          </w:p>
        </w:tc>
        <w:tc>
          <w:tcPr>
            <w:tcW w:type="dxa" w:w="6912"/>
            <w:vAlign w:val="center"/>
          </w:tcPr>
          <w:p>
            <w:r>
              <w:t>Searchable document segment derived from an artifact for retrieval operations.</w:t>
            </w:r>
          </w:p>
        </w:tc>
      </w:tr>
      <w:tr>
        <w:tc>
          <w:tcPr>
            <w:tcW w:type="dxa" w:w="2880"/>
            <w:vAlign w:val="center"/>
          </w:tcPr>
          <w:p>
            <w:r>
              <w:t>Run</w:t>
            </w:r>
          </w:p>
        </w:tc>
        <w:tc>
          <w:tcPr>
            <w:tcW w:type="dxa" w:w="6912"/>
            <w:vAlign w:val="center"/>
          </w:tcPr>
          <w:p>
            <w:r>
              <w:t>A single execution of the processing pipeline with pinned configuration and lineage.</w:t>
            </w:r>
          </w:p>
        </w:tc>
      </w:tr>
      <w:tr>
        <w:tc>
          <w:tcPr>
            <w:tcW w:type="dxa" w:w="2880"/>
            <w:vAlign w:val="center"/>
          </w:tcPr>
          <w:p>
            <w:r>
              <w:t>RunConfig</w:t>
            </w:r>
          </w:p>
        </w:tc>
        <w:tc>
          <w:tcPr>
            <w:tcW w:type="dxa" w:w="6912"/>
            <w:vAlign w:val="center"/>
          </w:tcPr>
          <w:p>
            <w:r>
              <w:t>Pinned schema, retrieval, model, and feature configuration for a run.</w:t>
            </w:r>
          </w:p>
        </w:tc>
      </w:tr>
      <w:tr>
        <w:tc>
          <w:tcPr>
            <w:tcW w:type="dxa" w:w="2880"/>
            <w:vAlign w:val="center"/>
          </w:tcPr>
          <w:p>
            <w:r>
              <w:t>NormalizedInput</w:t>
            </w:r>
          </w:p>
        </w:tc>
        <w:tc>
          <w:tcPr>
            <w:tcW w:type="dxa" w:w="6912"/>
            <w:vAlign w:val="center"/>
          </w:tcPr>
          <w:p>
            <w:r>
              <w:t>Schema-validated structured representation of extracted engineering inputs.</w:t>
            </w:r>
          </w:p>
        </w:tc>
      </w:tr>
      <w:tr>
        <w:tc>
          <w:tcPr>
            <w:tcW w:type="dxa" w:w="2880"/>
            <w:vAlign w:val="center"/>
          </w:tcPr>
          <w:p>
            <w:r>
              <w:t>EvidenceSnippet</w:t>
            </w:r>
          </w:p>
        </w:tc>
        <w:tc>
          <w:tcPr>
            <w:tcW w:type="dxa" w:w="6912"/>
            <w:vAlign w:val="center"/>
          </w:tcPr>
          <w:p>
            <w:r>
              <w:t>Retrieved evidence record used to support modeling parameter generation.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ModelOutput</w:t>
            </w:r>
          </w:p>
        </w:tc>
        <w:tc>
          <w:tcPr>
            <w:tcW w:type="dxa" w:w="6912"/>
            <w:vAlign w:val="center"/>
          </w:tcPr>
          <w:p>
            <w:r>
              <w:t>Schema-valid output object containing generated planning parameters.</w:t>
            </w:r>
          </w:p>
        </w:tc>
      </w:tr>
      <w:tr>
        <w:tc>
          <w:tcPr>
            <w:tcW w:type="dxa" w:w="2880"/>
            <w:vAlign w:val="center"/>
          </w:tcPr>
          <w:p>
            <w:r>
              <w:t>OutputParameter</w:t>
            </w:r>
          </w:p>
        </w:tc>
        <w:tc>
          <w:tcPr>
            <w:tcW w:type="dxa" w:w="6912"/>
            <w:vAlign w:val="center"/>
          </w:tcPr>
          <w:p>
            <w:r>
              <w:t>Individual exported parameter with provenance and confidence metadata.</w:t>
            </w:r>
          </w:p>
        </w:tc>
      </w:tr>
      <w:tr>
        <w:tc>
          <w:tcPr>
            <w:tcW w:type="dxa" w:w="2880"/>
            <w:vAlign w:val="center"/>
          </w:tcPr>
          <w:p>
            <w:r>
              <w:t>ScenarioSet</w:t>
            </w:r>
          </w:p>
        </w:tc>
        <w:tc>
          <w:tcPr>
            <w:tcW w:type="dxa" w:w="6912"/>
            <w:vAlign w:val="center"/>
          </w:tcPr>
          <w:p>
            <w:r>
              <w:t>Typical, Conservative, and Best-Case scenario variants generated for a run.</w:t>
            </w:r>
          </w:p>
        </w:tc>
      </w:tr>
      <w:tr>
        <w:tc>
          <w:tcPr>
            <w:tcW w:type="dxa" w:w="2880"/>
            <w:vAlign w:val="center"/>
          </w:tcPr>
          <w:p>
            <w:r>
              <w:t>Export</w:t>
            </w:r>
          </w:p>
        </w:tc>
        <w:tc>
          <w:tcPr>
            <w:tcW w:type="dxa" w:w="6912"/>
            <w:vAlign w:val="center"/>
          </w:tcPr>
          <w:p>
            <w:r>
              <w:t>Packaged JSON/report deliverable set produced for downstream use.</w:t>
            </w:r>
          </w:p>
        </w:tc>
      </w:tr>
    </w:tbl>
    <w:p/>
    <w:p>
      <w:pPr>
        <w:pStyle w:val="Heading1"/>
      </w:pPr>
      <w:r>
        <w:rPr>
          <w:b/>
        </w:rPr>
        <w:t>4. Input Schema</w:t>
      </w:r>
    </w:p>
    <w:p>
      <w:r>
        <w:t>Input data may arrive through structured forms, APIs, or document extraction workflows. Document ingestion and search may be implemented with enterprise retrieval platforms (for example IBM Watson Discovery).</w:t>
      </w:r>
    </w:p>
    <w:p>
      <w:pPr>
        <w:pStyle w:val="Heading2"/>
      </w:pPr>
      <w:r>
        <w:rPr>
          <w:b/>
        </w:rPr>
        <w:t>4.1 Core Input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center"/>
          </w:tcPr>
          <w:p>
            <w:r>
              <w:t>Element</w:t>
            </w:r>
          </w:p>
        </w:tc>
        <w:tc>
          <w:tcPr>
            <w:tcW w:type="dxa" w:w="6912"/>
            <w:vAlign w:val="center"/>
          </w:tcPr>
          <w:p>
            <w: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facility_info</w:t>
            </w:r>
          </w:p>
        </w:tc>
        <w:tc>
          <w:tcPr>
            <w:tcW w:type="dxa" w:w="6912"/>
            <w:vAlign w:val="center"/>
          </w:tcPr>
          <w:p>
            <w:r>
              <w:t>POI voltage, service configuration, site identifier, and phased buildout schedule.</w:t>
            </w:r>
          </w:p>
        </w:tc>
      </w:tr>
      <w:tr>
        <w:tc>
          <w:tcPr>
            <w:tcW w:type="dxa" w:w="2880"/>
            <w:vAlign w:val="center"/>
          </w:tcPr>
          <w:p>
            <w:r>
              <w:t>one_line_diagram</w:t>
            </w:r>
          </w:p>
        </w:tc>
        <w:tc>
          <w:tcPr>
            <w:tcW w:type="dxa" w:w="6912"/>
            <w:vAlign w:val="center"/>
          </w:tcPr>
          <w:p>
            <w:r>
              <w:t>File references for MV/LV one-lines, substations, and related electrical topology documents.</w:t>
            </w:r>
          </w:p>
        </w:tc>
      </w:tr>
      <w:tr>
        <w:tc>
          <w:tcPr>
            <w:tcW w:type="dxa" w:w="2880"/>
            <w:vAlign w:val="center"/>
          </w:tcPr>
          <w:p>
            <w:r>
              <w:t>load_composition</w:t>
            </w:r>
          </w:p>
        </w:tc>
        <w:tc>
          <w:tcPr>
            <w:tcW w:type="dxa" w:w="6912"/>
            <w:vAlign w:val="center"/>
          </w:tcPr>
          <w:p>
            <w:r>
              <w:t>IT load, cooling load, and other facility load fractions or schedules.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ups_systems</w:t>
            </w:r>
          </w:p>
        </w:tc>
        <w:tc>
          <w:tcPr>
            <w:tcW w:type="dxa" w:w="6912"/>
            <w:vAlign w:val="center"/>
          </w:tcPr>
          <w:p>
            <w:r>
              <w:t>Vendor, model, topology, operating mode, module count, and rated capacity.</w:t>
            </w:r>
          </w:p>
        </w:tc>
      </w:tr>
      <w:tr>
        <w:tc>
          <w:tcPr>
            <w:tcW w:type="dxa" w:w="2880"/>
            <w:vAlign w:val="center"/>
          </w:tcPr>
          <w:p>
            <w:r>
              <w:t>generators</w:t>
            </w:r>
          </w:p>
        </w:tc>
        <w:tc>
          <w:tcPr>
            <w:tcW w:type="dxa" w:w="6912"/>
            <w:vAlign w:val="center"/>
          </w:tcPr>
          <w:p>
            <w:r>
              <w:t>Vendor, model, quantity, ratings, and operating/export capability.</w:t>
            </w:r>
          </w:p>
        </w:tc>
      </w:tr>
      <w:tr>
        <w:tc>
          <w:tcPr>
            <w:tcW w:type="dxa" w:w="2880"/>
            <w:vAlign w:val="center"/>
          </w:tcPr>
          <w:p>
            <w:r>
              <w:t>transformers</w:t>
            </w:r>
          </w:p>
        </w:tc>
        <w:tc>
          <w:tcPr>
            <w:tcW w:type="dxa" w:w="6912"/>
            <w:vAlign w:val="center"/>
          </w:tcPr>
          <w:p>
            <w:r>
              <w:t>Ratings, voltages, percent impedance, tap information, and connection details where available.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protection_settings</w:t>
            </w:r>
          </w:p>
        </w:tc>
        <w:tc>
          <w:tcPr>
            <w:tcW w:type="dxa" w:w="6912"/>
            <w:vAlign w:val="center"/>
          </w:tcPr>
          <w:p>
            <w:r>
              <w:t>Protection device configuration, curves, ride-through, and relay settings summaries.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harmonics</w:t>
            </w:r>
          </w:p>
        </w:tc>
        <w:tc>
          <w:tcPr>
            <w:tcW w:type="dxa" w:w="6912"/>
            <w:vAlign w:val="center"/>
          </w:tcPr>
          <w:p>
            <w:r>
              <w:t>THD or harmonic risk information, filter presence, and major power-electronics sources.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commissioning_constraints</w:t>
            </w:r>
          </w:p>
        </w:tc>
        <w:tc>
          <w:tcPr>
            <w:tcW w:type="dxa" w:w="6912"/>
            <w:vAlign w:val="center"/>
          </w:tcPr>
          <w:p>
            <w:r>
              <w:t>Energization, sequencing, restrictions, and commissioning notes if available.</w:t>
            </w:r>
          </w:p>
        </w:tc>
      </w:tr>
    </w:tbl>
    <w:p/>
    <w:p>
      <w:pPr>
        <w:pStyle w:val="Heading2"/>
      </w:pPr>
      <w:r>
        <w:rPr>
          <w:b/>
        </w:rPr>
        <w:t>4.2 Validation Rules</w:t>
      </w:r>
    </w:p>
    <w:p>
      <w:pPr>
        <w:pStyle w:val="ListBullet"/>
      </w:pPr>
      <w:r>
        <w:t>All power values must declare units and normalize to MW/Mvar for downstream outputs.</w:t>
      </w:r>
    </w:p>
    <w:p>
      <w:pPr>
        <w:pStyle w:val="ListBullet"/>
      </w:pPr>
      <w:r>
        <w:t>Voltage values normalize to kV.</w:t>
      </w:r>
    </w:p>
    <w:p>
      <w:pPr>
        <w:pStyle w:val="ListBullet"/>
      </w:pPr>
      <w:r>
        <w:t>Time/curve data should be expressed as structured time-value or per-unit/value pairs.</w:t>
      </w:r>
    </w:p>
    <w:p>
      <w:pPr>
        <w:pStyle w:val="ListBullet"/>
      </w:pPr>
      <w:r>
        <w:t>Missing critical data must trigger follow-up question generation rather than silent inference.</w:t>
      </w:r>
    </w:p>
    <w:p>
      <w:pPr>
        <w:pStyle w:val="ListBullet"/>
      </w:pPr>
      <w:r>
        <w:t>Schema validation must run before retrieval, translation, and export.</w:t>
      </w:r>
    </w:p>
    <w:p>
      <w:pPr>
        <w:pStyle w:val="Heading1"/>
      </w:pPr>
      <w:r>
        <w:rPr>
          <w:b/>
        </w:rPr>
        <w:t>5. Intermediate Processing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center"/>
          </w:tcPr>
          <w:p>
            <w:r>
              <w:t>Element</w:t>
            </w:r>
          </w:p>
        </w:tc>
        <w:tc>
          <w:tcPr>
            <w:tcW w:type="dxa" w:w="6912"/>
            <w:vAlign w:val="center"/>
          </w:tcPr>
          <w:p>
            <w: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ExtractionResult</w:t>
            </w:r>
          </w:p>
        </w:tc>
        <w:tc>
          <w:tcPr>
            <w:tcW w:type="dxa" w:w="6912"/>
            <w:vAlign w:val="center"/>
          </w:tcPr>
          <w:p>
            <w:r>
              <w:t>Structured extraction artifact containing identified equipment, ratings, and topology cues.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ValidationReport</w:t>
            </w:r>
          </w:p>
        </w:tc>
        <w:tc>
          <w:tcPr>
            <w:tcW w:type="dxa" w:w="6912"/>
            <w:vAlign w:val="center"/>
          </w:tcPr>
          <w:p>
            <w:r>
              <w:t>Errors, warnings, conflicts, and missing fields generated during normalization.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FollowUpQuestion</w:t>
            </w:r>
          </w:p>
        </w:tc>
        <w:tc>
          <w:tcPr>
            <w:tcW w:type="dxa" w:w="6912"/>
            <w:vAlign w:val="center"/>
          </w:tcPr>
          <w:p>
            <w:r>
              <w:t>Structured clarification request tied to a schema field path and evidence context.</w:t>
            </w:r>
          </w:p>
        </w:tc>
      </w:tr>
      <w:tr>
        <w:tc>
          <w:tcPr>
            <w:tcW w:type="dxa" w:w="2880"/>
            <w:vAlign w:val="center"/>
          </w:tcPr>
          <w:p>
            <w:r>
              <w:t>EvidenceBundle</w:t>
            </w:r>
          </w:p>
        </w:tc>
        <w:tc>
          <w:tcPr>
            <w:tcW w:type="dxa" w:w="6912"/>
            <w:vAlign w:val="center"/>
          </w:tcPr>
          <w:p>
            <w:r>
              <w:t>Run-scoped collection of retrieved evidence snippets and retrieval metadata.</w:t>
            </w:r>
          </w:p>
        </w:tc>
      </w:tr>
      <w:tr>
        <w:tc>
          <w:tcPr>
            <w:tcW w:type="dxa" w:w="2880"/>
            <w:vAlign w:val="center"/>
          </w:tcPr>
          <w:p>
            <w:r>
              <w:t>RunExecutionLineage</w:t>
            </w:r>
          </w:p>
        </w:tc>
        <w:tc>
          <w:tcPr>
            <w:tcW w:type="dxa" w:w="6912"/>
            <w:vAlign w:val="center"/>
          </w:tcPr>
          <w:p>
            <w:r>
              <w:t>Pinned lineage metadata linking run, configuration, retrieval context, and model-assisted artifacts.</w:t>
            </w:r>
          </w:p>
        </w:tc>
      </w:tr>
      <w:tr>
        <w:tc>
          <w:tcPr>
            <w:tcW w:type="dxa" w:w="2880"/>
            <w:vAlign w:val="center"/>
          </w:tcPr>
          <w:p>
            <w:r>
              <w:t>CanonicalStateSnapshot</w:t>
            </w:r>
          </w:p>
        </w:tc>
        <w:tc>
          <w:tcPr>
            <w:tcW w:type="dxa" w:w="6912"/>
            <w:vAlign w:val="center"/>
          </w:tcPr>
          <w:p>
            <w:r>
              <w:t>Immutable authoritative state snapshot used for governed model-assisted processing where applicable.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PromptBuildRecord</w:t>
            </w:r>
          </w:p>
        </w:tc>
        <w:tc>
          <w:tcPr>
            <w:tcW w:type="dxa" w:w="6912"/>
            <w:vAlign w:val="center"/>
          </w:tcPr>
          <w:p>
            <w:r>
              <w:t>Persisted prompt-construction metadata for governed model-assisted tasks where applicable.</w:t>
            </w:r>
          </w:p>
        </w:tc>
      </w:tr>
    </w:tbl>
    <w:p/>
    <w:p>
      <w:pPr>
        <w:pStyle w:val="Heading1"/>
      </w:pPr>
      <w:r>
        <w:rPr>
          <w:b/>
        </w:rPr>
        <w:t>6. Output Schema</w:t>
      </w:r>
    </w:p>
    <w:p>
      <w:r>
        <w:t>Outputs are generated by translation services using deterministic rules and, where appropriate, model-assisted extraction (for example watsonx.ai). Outputs must conform to the canonical output schema and be suitable for transmission planning use.</w:t>
      </w:r>
    </w:p>
    <w:p>
      <w:pPr>
        <w:pStyle w:val="Heading2"/>
      </w:pPr>
      <w:r>
        <w:rPr>
          <w:b/>
        </w:rPr>
        <w:t>6.1 Output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center"/>
          </w:tcPr>
          <w:p>
            <w:r>
              <w:t>Element</w:t>
            </w:r>
          </w:p>
        </w:tc>
        <w:tc>
          <w:tcPr>
            <w:tcW w:type="dxa" w:w="6912"/>
            <w:vAlign w:val="center"/>
          </w:tcPr>
          <w:p>
            <w: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steady_state</w:t>
            </w:r>
          </w:p>
        </w:tc>
        <w:tc>
          <w:tcPr>
            <w:tcW w:type="dxa" w:w="6912"/>
            <w:vAlign w:val="center"/>
          </w:tcPr>
          <w:p>
            <w:r>
              <w:t>Pmax, Pmin, Q limits, PF targets, control mode, and related steady-state behavior.</w:t>
            </w:r>
          </w:p>
        </w:tc>
      </w:tr>
      <w:tr>
        <w:tc>
          <w:tcPr>
            <w:tcW w:type="dxa" w:w="2880"/>
            <w:vAlign w:val="center"/>
          </w:tcPr>
          <w:p>
            <w:r>
              <w:t>zip_model</w:t>
            </w:r>
          </w:p>
        </w:tc>
        <w:tc>
          <w:tcPr>
            <w:tcW w:type="dxa" w:w="6912"/>
            <w:vAlign w:val="center"/>
          </w:tcPr>
          <w:p>
            <w:r>
              <w:t>Constant power/current/impedance fractions for P and Q behavior.</w:t>
            </w:r>
          </w:p>
        </w:tc>
      </w:tr>
      <w:tr>
        <w:tc>
          <w:tcPr>
            <w:tcW w:type="dxa" w:w="2880"/>
            <w:vAlign w:val="center"/>
          </w:tcPr>
          <w:p>
            <w:r>
              <w:t>dynamic_parameters</w:t>
            </w:r>
          </w:p>
        </w:tc>
        <w:tc>
          <w:tcPr>
            <w:tcW w:type="dxa" w:w="6912"/>
            <w:vAlign w:val="center"/>
          </w:tcPr>
          <w:p>
            <w:r>
              <w:t>Voltage/frequency sensitivity, recovery constants, reconnect logic, and related dynamic fields.</w:t>
            </w:r>
          </w:p>
        </w:tc>
      </w:tr>
      <w:tr>
        <w:tc>
          <w:tcPr>
            <w:tcW w:type="dxa" w:w="2880"/>
            <w:vAlign w:val="center"/>
          </w:tcPr>
          <w:p>
            <w:r>
              <w:t>load_composition</w:t>
            </w:r>
          </w:p>
        </w:tc>
        <w:tc>
          <w:tcPr>
            <w:tcW w:type="dxa" w:w="6912"/>
            <w:vAlign w:val="center"/>
          </w:tcPr>
          <w:p>
            <w:r>
              <w:t>Electronic, motor, VFD, and static fractions or equivalent composition indicators.</w:t>
            </w:r>
          </w:p>
        </w:tc>
      </w:tr>
      <w:tr>
        <w:tc>
          <w:tcPr>
            <w:tcW w:type="dxa" w:w="2880"/>
            <w:vAlign w:val="center"/>
          </w:tcPr>
          <w:p>
            <w:r>
              <w:t>ramping</w:t>
            </w:r>
          </w:p>
        </w:tc>
        <w:tc>
          <w:tcPr>
            <w:tcW w:type="dxa" w:w="6912"/>
            <w:vAlign w:val="center"/>
          </w:tcPr>
          <w:p>
            <w:r>
              <w:t>Ramp up/down limits, staging behavior, and restoration pickup characteristics where available.</w:t>
            </w:r>
          </w:p>
        </w:tc>
      </w:tr>
      <w:tr>
        <w:tc>
          <w:tcPr>
            <w:tcW w:type="dxa" w:w="2880"/>
            <w:vAlign w:val="center"/>
          </w:tcPr>
          <w:p>
            <w:r>
              <w:t>generator_interactions</w:t>
            </w:r>
          </w:p>
        </w:tc>
        <w:tc>
          <w:tcPr>
            <w:tcW w:type="dxa" w:w="6912"/>
            <w:vAlign w:val="center"/>
          </w:tcPr>
          <w:p>
            <w:r>
              <w:t>Islanding, export, transition, and constraint flags associated with backup generation.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power_quality</w:t>
            </w:r>
          </w:p>
        </w:tc>
        <w:tc>
          <w:tcPr>
            <w:tcW w:type="dxa" w:w="6912"/>
            <w:vAlign w:val="center"/>
          </w:tcPr>
          <w:p>
            <w:r>
              <w:t>Harmonic risk, screening results, and study recommendations.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confidence_tags</w:t>
            </w:r>
          </w:p>
        </w:tc>
        <w:tc>
          <w:tcPr>
            <w:tcW w:type="dxa" w:w="6912"/>
            <w:vAlign w:val="center"/>
          </w:tcPr>
          <w:p>
            <w:r>
              <w:t>Confidence designation for each parameter or parameter group.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provenance</w:t>
            </w:r>
          </w:p>
        </w:tc>
        <w:tc>
          <w:tcPr>
            <w:tcW w:type="dxa" w:w="6912"/>
            <w:vAlign w:val="center"/>
          </w:tcPr>
          <w:p>
            <w:r>
              <w:t>Evidence, rule, or assumption references tied to each output parameter.</w:t>
            </w:r>
          </w:p>
        </w:tc>
      </w:tr>
    </w:tbl>
    <w:p/>
    <w:p>
      <w:pPr>
        <w:pStyle w:val="Heading2"/>
      </w:pPr>
      <w:r>
        <w:rPr>
          <w:b/>
        </w:rPr>
        <w:t>6.2 Scenario Requirements</w:t>
      </w:r>
    </w:p>
    <w:p>
      <w:pPr>
        <w:pStyle w:val="ListBullet"/>
      </w:pPr>
      <w:r>
        <w:t>ScenarioSet must produce Typical, Conservative, and Best-Case variants when uncertainty exists.</w:t>
      </w:r>
    </w:p>
    <w:p>
      <w:pPr>
        <w:pStyle w:val="ListBullet"/>
      </w:pPr>
      <w:r>
        <w:t>Scenario outputs must preserve provenance and add scenario rationale where applicable.</w:t>
      </w:r>
    </w:p>
    <w:p>
      <w:pPr>
        <w:pStyle w:val="ListBullet"/>
      </w:pPr>
      <w:r>
        <w:t>Scenario labels and bounds must remain explicit in exported artifacts.</w:t>
      </w:r>
    </w:p>
    <w:p>
      <w:pPr>
        <w:pStyle w:val="Heading1"/>
      </w:pPr>
      <w:r>
        <w:rPr>
          <w:b/>
        </w:rPr>
        <w:t>7. Provenance and Confidence</w:t>
      </w:r>
    </w:p>
    <w:p>
      <w:pPr>
        <w:pStyle w:val="ListBullet"/>
      </w:pPr>
      <w:r>
        <w:t>Every OutputParameter must include provenance referencing an EvidenceSnippet, deterministic rule identifier, or explicit assumption.</w:t>
      </w:r>
    </w:p>
    <w:p>
      <w:pPr>
        <w:pStyle w:val="ListBullet"/>
      </w:pPr>
      <w:r>
        <w:t>Confidence levels should distinguish direct specification support, class-based inference, and assumption-driven estimates.</w:t>
      </w:r>
    </w:p>
    <w:p>
      <w:pPr>
        <w:pStyle w:val="ListBullet"/>
      </w:pPr>
      <w:r>
        <w:t>Export must fail closed if required provenance is missing.</w:t>
      </w:r>
    </w:p>
    <w:p>
      <w:pPr>
        <w:pStyle w:val="Heading1"/>
      </w:pPr>
      <w:r>
        <w:rPr>
          <w:b/>
        </w:rPr>
        <w:t>8. Implementation Notes</w:t>
      </w:r>
    </w:p>
    <w:p>
      <w:pPr>
        <w:pStyle w:val="ListBullet"/>
      </w:pPr>
      <w:r>
        <w:t>Ingestion, search, and retrieval may be implemented using enterprise search platforms (for example IBM Watson Discovery).</w:t>
      </w:r>
    </w:p>
    <w:p>
      <w:pPr>
        <w:pStyle w:val="ListBullet"/>
      </w:pPr>
      <w:r>
        <w:t>Model-assisted extraction or translation may be implemented with foundation model services (for example watsonx.ai).</w:t>
      </w:r>
    </w:p>
    <w:p>
      <w:pPr>
        <w:pStyle w:val="ListBullet"/>
      </w:pPr>
      <w:r>
        <w:t>These references describe possible implementations and do not change the platform-agnostic schema design.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