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GridSenpAI Data Translation Framework</w:t>
      </w:r>
    </w:p>
    <w:p>
      <w:pPr>
        <w:jc w:val="center"/>
      </w:pPr>
      <w:r>
        <w:rPr>
          <w:i/>
          <w:sz w:val="20"/>
        </w:rPr>
        <w:t>Transmission-planning model generation framework aligned to the current architecture</w:t>
      </w:r>
    </w:p>
    <w:p>
      <w:pPr>
        <w:pStyle w:val="Heading1"/>
      </w:pPr>
      <w:r>
        <w:rPr>
          <w:b/>
        </w:rPr>
        <w:t>1. Purpose</w:t>
      </w:r>
    </w:p>
    <w:p>
      <w:r>
        <w:t>This document describes the GridSenpAI data translation framework used to convert engineering artifacts into transmission-planning-ready model parameters. It is aligned to the current SRS, DSD/DCD, and DMD artifacts.</w:t>
      </w:r>
    </w:p>
    <w:p>
      <w:pPr>
        <w:pStyle w:val="Heading1"/>
      </w:pPr>
      <w:r>
        <w:rPr>
          <w:b/>
        </w:rPr>
        <w:t>2. Primary Inputs</w:t>
      </w:r>
    </w:p>
    <w:p>
      <w:pPr>
        <w:pStyle w:val="ListBullet"/>
      </w:pPr>
      <w:r>
        <w:t>Point of interconnection information including service voltage and configuration.</w:t>
      </w:r>
    </w:p>
    <w:p>
      <w:pPr>
        <w:pStyle w:val="ListBullet"/>
      </w:pPr>
      <w:r>
        <w:t>Facility one-line diagrams and major equipment schedules.</w:t>
      </w:r>
    </w:p>
    <w:p>
      <w:pPr>
        <w:pStyle w:val="ListBullet"/>
      </w:pPr>
      <w:r>
        <w:t>Load composition and operating policy information.</w:t>
      </w:r>
    </w:p>
    <w:p>
      <w:pPr>
        <w:pStyle w:val="ListBullet"/>
      </w:pPr>
      <w:r>
        <w:t>UPS specifications, generator specifications, and transformer characteristics.</w:t>
      </w:r>
    </w:p>
    <w:p>
      <w:pPr>
        <w:pStyle w:val="ListBullet"/>
      </w:pPr>
      <w:r>
        <w:t>Protection settings, ride-through information, and power-quality data.</w:t>
      </w:r>
    </w:p>
    <w:p>
      <w:pPr>
        <w:pStyle w:val="ListBullet"/>
      </w:pPr>
      <w:r>
        <w:t>Commissioning and energization constraints where available.</w:t>
      </w:r>
    </w:p>
    <w:p>
      <w:pPr>
        <w:pStyle w:val="Heading1"/>
      </w:pPr>
      <w:r>
        <w:rPr>
          <w:b/>
        </w:rPr>
        <w:t>3. Knowledge Sources</w:t>
      </w:r>
    </w:p>
    <w:p>
      <w:pPr>
        <w:pStyle w:val="ListBullet"/>
      </w:pPr>
      <w:r>
        <w:t>Vendor equipment documentation.</w:t>
      </w:r>
    </w:p>
    <w:p>
      <w:pPr>
        <w:pStyle w:val="ListBullet"/>
      </w:pPr>
      <w:r>
        <w:t>Transmission-planning and modeling guidance (for example IEEE, CIGRE, ISO references).</w:t>
      </w:r>
    </w:p>
    <w:p>
      <w:pPr>
        <w:pStyle w:val="ListBullet"/>
      </w:pPr>
      <w:r>
        <w:t>Simulation-tool documentation for planning environments.</w:t>
      </w:r>
    </w:p>
    <w:p>
      <w:pPr>
        <w:pStyle w:val="ListBullet"/>
      </w:pPr>
      <w:r>
        <w:t>Internal parameter dictionaries and mapping rules.</w:t>
      </w:r>
    </w:p>
    <w:p>
      <w:pPr>
        <w:pStyle w:val="ListBullet"/>
      </w:pPr>
      <w:r>
        <w:t>Optional empirical behavior data where the project scope permits.</w:t>
      </w:r>
    </w:p>
    <w:p>
      <w:pPr>
        <w:pStyle w:val="Heading1"/>
      </w:pPr>
      <w:r>
        <w:rPr>
          <w:b/>
        </w:rPr>
        <w:t>4. Translation Pipeline</w:t>
      </w:r>
    </w:p>
    <w:p>
      <w:pPr>
        <w:pStyle w:val="ListNumber"/>
      </w:pPr>
      <w:r>
        <w:t>Document Ingestion Service stores and indexes engineering artifacts.</w:t>
      </w:r>
    </w:p>
    <w:p>
      <w:pPr>
        <w:pStyle w:val="ListNumber"/>
      </w:pPr>
      <w:r>
        <w:t>Parsing &amp; Entity Extraction Service identifies equipment, ratings, settings, and topology cues.</w:t>
      </w:r>
    </w:p>
    <w:p>
      <w:pPr>
        <w:pStyle w:val="ListNumber"/>
      </w:pPr>
      <w:r>
        <w:t>Normalization &amp; Schema Validation Service converts extracted data into canonical structured inputs.</w:t>
      </w:r>
    </w:p>
    <w:p>
      <w:pPr>
        <w:pStyle w:val="ListNumber"/>
      </w:pPr>
      <w:r>
        <w:t>Knowledge Retrieval (RAG) Service retrieves modeling references and evidence snippets (optional implementation: IBM Watson Discovery).</w:t>
      </w:r>
    </w:p>
    <w:p>
      <w:pPr>
        <w:pStyle w:val="ListNumber"/>
      </w:pPr>
      <w:r>
        <w:t>Parameter Translation Service derives planner-ready parameters using deterministic logic and, where appropriate, model-assisted processing (for example watsonx.ai).</w:t>
      </w:r>
    </w:p>
    <w:p>
      <w:pPr>
        <w:pStyle w:val="ListNumber"/>
      </w:pPr>
      <w:r>
        <w:t>Scenario Generation Service produces Typical, Conservative, and Best-Case scenario variants.</w:t>
      </w:r>
    </w:p>
    <w:p>
      <w:pPr>
        <w:pStyle w:val="ListNumber"/>
      </w:pPr>
      <w:r>
        <w:t>Output Packaging &amp; Export Service creates structured output artifacts and human-readable reports.</w:t>
      </w:r>
    </w:p>
    <w:p>
      <w:pPr>
        <w:pStyle w:val="ListNumber"/>
      </w:pPr>
      <w:r>
        <w:t>Run Management &amp; Versioning Service preserves version labels, lineage, and rerun diffs.</w:t>
      </w:r>
    </w:p>
    <w:p>
      <w:pPr>
        <w:pStyle w:val="Heading1"/>
      </w:pPr>
      <w:r>
        <w:rPr>
          <w:b/>
        </w:rPr>
        <w:t>5. Governance and Traceability</w:t>
      </w:r>
    </w:p>
    <w:p>
      <w:pPr>
        <w:pStyle w:val="ListBullet"/>
      </w:pPr>
      <w:r>
        <w:t>Where model-assisted processing is used, governed prompt construction and canonical state controls must preserve reproducibility.</w:t>
      </w:r>
    </w:p>
    <w:p>
      <w:pPr>
        <w:pStyle w:val="ListBullet"/>
      </w:pPr>
      <w:r>
        <w:t>Every generated parameter must be traceable to evidence, a deterministic rule, or an explicit assumption.</w:t>
      </w:r>
    </w:p>
    <w:p>
      <w:pPr>
        <w:pStyle w:val="ListBullet"/>
      </w:pPr>
      <w:r>
        <w:t>Scenario outputs must retain provenance and rationale.</w:t>
      </w:r>
    </w:p>
    <w:p>
      <w:pPr>
        <w:pStyle w:val="ListBullet"/>
      </w:pPr>
      <w:r>
        <w:t>Lineage metadata must be sufficient to reconstruct a run and its export package.</w:t>
      </w:r>
    </w:p>
    <w:p>
      <w:pPr>
        <w:pStyle w:val="Heading1"/>
      </w:pPr>
      <w:r>
        <w:rPr>
          <w:b/>
        </w:rPr>
        <w:t>6. Output Families</w:t>
      </w:r>
    </w:p>
    <w:p>
      <w:pPr>
        <w:pStyle w:val="ListBullet"/>
      </w:pPr>
      <w:r>
        <w:t>Steady-state model parameters.</w:t>
      </w:r>
    </w:p>
    <w:p>
      <w:pPr>
        <w:pStyle w:val="ListBullet"/>
      </w:pPr>
      <w:r>
        <w:t>ZIP load model coefficients.</w:t>
      </w:r>
    </w:p>
    <w:p>
      <w:pPr>
        <w:pStyle w:val="ListBullet"/>
      </w:pPr>
      <w:r>
        <w:t>Dynamic response and recovery parameters.</w:t>
      </w:r>
    </w:p>
    <w:p>
      <w:pPr>
        <w:pStyle w:val="ListBullet"/>
      </w:pPr>
      <w:r>
        <w:t>Load composition fractions and behavioral indicators.</w:t>
      </w:r>
    </w:p>
    <w:p>
      <w:pPr>
        <w:pStyle w:val="ListBullet"/>
      </w:pPr>
      <w:r>
        <w:t>Ramping and staging characteristics.</w:t>
      </w:r>
    </w:p>
    <w:p>
      <w:pPr>
        <w:pStyle w:val="ListBullet"/>
      </w:pPr>
      <w:r>
        <w:t>Backup generator interaction flags.</w:t>
      </w:r>
    </w:p>
    <w:p>
      <w:pPr>
        <w:pStyle w:val="ListBullet"/>
      </w:pPr>
      <w:r>
        <w:t>Power-quality screening outputs.</w:t>
      </w:r>
    </w:p>
    <w:p>
      <w:pPr>
        <w:pStyle w:val="ListBullet"/>
      </w:pPr>
      <w:r>
        <w:t>Confidence-tagged and provenance-linked scenario parameter sets.</w:t>
      </w:r>
    </w:p>
    <w:p>
      <w:pPr>
        <w:pStyle w:val="Heading1"/>
      </w:pPr>
      <w:r>
        <w:rPr>
          <w:b/>
        </w:rPr>
        <w:t>7. Minimum and Ideal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vAlign w:val="center"/>
          </w:tcPr>
          <w:p>
            <w:r>
              <w:t>Element</w:t>
            </w:r>
          </w:p>
        </w:tc>
        <w:tc>
          <w:tcPr>
            <w:tcW w:type="dxa" w:w="7776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Minimum</w:t>
            </w:r>
          </w:p>
        </w:tc>
        <w:tc>
          <w:tcPr>
            <w:tcW w:type="dxa" w:w="7776"/>
            <w:vAlign w:val="center"/>
          </w:tcPr>
          <w:p>
            <w:r>
              <w:t>One-line diagram, MW schedule, basic load composition, UPS topology, and generator ratings.</w:t>
            </w:r>
          </w:p>
        </w:tc>
      </w:tr>
      <w:tr>
        <w:tc>
          <w:tcPr>
            <w:tcW w:type="dxa" w:w="2016"/>
            <w:vAlign w:val="center"/>
          </w:tcPr>
          <w:p>
            <w:r>
              <w:t>Ideal</w:t>
            </w:r>
          </w:p>
        </w:tc>
        <w:tc>
          <w:tcPr>
            <w:tcW w:type="dxa" w:w="7776"/>
            <w:vAlign w:val="center"/>
          </w:tcPr>
          <w:p>
            <w:r>
              <w:t>Detailed equipment models, relay settings, operating policies, commissioning data, and validated facility behavior information.</w:t>
            </w:r>
          </w:p>
        </w:tc>
      </w:tr>
    </w:tbl>
    <w:p/>
    <w:p>
      <w:pPr>
        <w:pStyle w:val="Heading1"/>
      </w:pPr>
      <w:r>
        <w:rPr>
          <w:b/>
        </w:rPr>
        <w:t>8. Expected Deliverables</w:t>
      </w:r>
    </w:p>
    <w:p>
      <w:pPr>
        <w:pStyle w:val="ListBullet"/>
      </w:pPr>
      <w:r>
        <w:t>Study-ready interconnection modeling packet.</w:t>
      </w:r>
    </w:p>
    <w:p>
      <w:pPr>
        <w:pStyle w:val="ListBullet"/>
      </w:pPr>
      <w:r>
        <w:t>Equivalent facility model parameters for transmission-planning simulations.</w:t>
      </w:r>
    </w:p>
    <w:p>
      <w:pPr>
        <w:pStyle w:val="ListBullet"/>
      </w:pPr>
      <w:r>
        <w:t>Scenario-based parameter sets with confidence designations.</w:t>
      </w:r>
    </w:p>
    <w:p>
      <w:pPr>
        <w:pStyle w:val="ListBullet"/>
      </w:pPr>
      <w:r>
        <w:t>Automated missing-information and follow-up request generation.</w:t>
      </w:r>
    </w:p>
    <w:p>
      <w:pPr>
        <w:pStyle w:val="ListBullet"/>
      </w:pPr>
      <w:r>
        <w:t>Versioned export package with reproducible run context.</w:t>
      </w:r>
    </w:p>
    <w:p>
      <w:pPr>
        <w:pStyle w:val="Heading1"/>
      </w:pPr>
      <w:r>
        <w:rPr>
          <w:b/>
        </w:rPr>
        <w:t>9. Implementation Notes</w:t>
      </w:r>
    </w:p>
    <w:p>
      <w:pPr>
        <w:pStyle w:val="ListBullet"/>
      </w:pPr>
      <w:r>
        <w:t>Retrieval and search services may be implemented with enterprise document-search platforms (for example IBM Watson Discovery).</w:t>
      </w:r>
    </w:p>
    <w:p>
      <w:pPr>
        <w:pStyle w:val="ListBullet"/>
      </w:pPr>
      <w:r>
        <w:t>Model-assisted translation may be implemented with foundation-model services (for example watsonx.ai).</w:t>
      </w:r>
    </w:p>
    <w:p>
      <w:pPr>
        <w:pStyle w:val="ListBullet"/>
      </w:pPr>
      <w:r>
        <w:t>These references are implementation examples and do not change the platform-agnostic framework.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