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34AF7" w14:textId="3112B26F" w:rsidR="008E2B31" w:rsidRDefault="001A775B">
      <w:pPr>
        <w:pStyle w:val="Title"/>
      </w:pPr>
      <w:proofErr w:type="spellStart"/>
      <w:r>
        <w:t>GridSenpAI</w:t>
      </w:r>
      <w:proofErr w:type="spellEnd"/>
      <w:r w:rsidR="00000000">
        <w:t xml:space="preserve"> Software Requirements Specification (</w:t>
      </w:r>
      <w:proofErr w:type="gramStart"/>
      <w:r w:rsidR="00000000">
        <w:t>SRS) —</w:t>
      </w:r>
      <w:proofErr w:type="gramEnd"/>
      <w:r w:rsidR="00000000">
        <w:t xml:space="preserve"> Watson Implementation Notes Included</w:t>
      </w:r>
    </w:p>
    <w:p w14:paraId="5F8FB83A" w14:textId="77777777" w:rsidR="008E2B31" w:rsidRDefault="00000000">
      <w:pPr>
        <w:pStyle w:val="Heading1"/>
      </w:pPr>
      <w:r>
        <w:t>1. Introduction</w:t>
      </w:r>
    </w:p>
    <w:p w14:paraId="279B6263" w14:textId="74A874B3" w:rsidR="008E2B31" w:rsidRDefault="001A775B">
      <w:pPr>
        <w:spacing w:after="120"/>
      </w:pPr>
      <w:proofErr w:type="spellStart"/>
      <w:r>
        <w:t>GridSenpAI</w:t>
      </w:r>
      <w:proofErr w:type="spellEnd"/>
      <w:r w:rsidR="00000000">
        <w:t xml:space="preserve"> is an AI-assisted engineering translation system designed to bridge the gap between data center electrical facility designs and the modeling requirements of transmission planners (TPs). The system ingests facility electrical design information and equipment specifications and produces grid-study-ready modeling parameters compatible with transmission planning simulation tools (e.g., PSS/E, PSLF, </w:t>
      </w:r>
      <w:proofErr w:type="spellStart"/>
      <w:r w:rsidR="00000000">
        <w:t>PowerWorld</w:t>
      </w:r>
      <w:proofErr w:type="spellEnd"/>
      <w:r w:rsidR="00000000">
        <w:t>).</w:t>
      </w:r>
    </w:p>
    <w:p w14:paraId="0F1A373A" w14:textId="77777777" w:rsidR="008E2B31" w:rsidRDefault="00000000">
      <w:pPr>
        <w:spacing w:after="120"/>
      </w:pPr>
      <w:r>
        <w:t>This SRS is written to be platform-aware: wherever an implementation component can map to an IBM Watson capability, the applicable IBM product is noted in parentheses next to the agnostic term.</w:t>
      </w:r>
    </w:p>
    <w:p w14:paraId="7BC55594" w14:textId="77777777" w:rsidR="008E2B31" w:rsidRDefault="00000000">
      <w:pPr>
        <w:pStyle w:val="Heading2"/>
      </w:pPr>
      <w:r>
        <w:t>1.1 Purpose</w:t>
      </w:r>
    </w:p>
    <w:p w14:paraId="5C7100BB" w14:textId="61F79913" w:rsidR="008E2B31" w:rsidRDefault="00000000">
      <w:pPr>
        <w:spacing w:after="120"/>
      </w:pPr>
      <w:r>
        <w:t xml:space="preserve">Define functional and non-functional requirements for </w:t>
      </w:r>
      <w:proofErr w:type="spellStart"/>
      <w:r w:rsidR="001A775B">
        <w:t>GridSenpAI</w:t>
      </w:r>
      <w:proofErr w:type="spellEnd"/>
      <w:r>
        <w:t xml:space="preserve"> so engineering teams can build, test, deploy, and operate the system.</w:t>
      </w:r>
    </w:p>
    <w:p w14:paraId="7635EA69" w14:textId="77777777" w:rsidR="008E2B31" w:rsidRDefault="00000000">
      <w:pPr>
        <w:pStyle w:val="Heading2"/>
      </w:pPr>
      <w:r>
        <w:t>1.2 Scope</w:t>
      </w:r>
    </w:p>
    <w:p w14:paraId="0D6EAE3E" w14:textId="77777777" w:rsidR="008E2B31" w:rsidRDefault="00000000">
      <w:pPr>
        <w:spacing w:after="120"/>
      </w:pPr>
      <w:r>
        <w:t>In scope: ingestion of facility artifacts, specification retrieval, parameter extraction, translation to TP-ready model parameters, packaging/export, traceability, confidence tagging, and a validation loop for iterative model refinement.</w:t>
      </w:r>
    </w:p>
    <w:p w14:paraId="6A1F29CF" w14:textId="77777777" w:rsidR="008E2B31" w:rsidRDefault="00000000">
      <w:pPr>
        <w:spacing w:after="120"/>
      </w:pPr>
      <w:r>
        <w:t>Out of scope (initial release): direct integration into TP proprietary simulators via plug-ins; real-time closed-loop control; automated approval/decision-making in interconnection queues.</w:t>
      </w:r>
    </w:p>
    <w:p w14:paraId="4893C743" w14:textId="77777777" w:rsidR="008E2B31" w:rsidRDefault="00000000">
      <w:pPr>
        <w:pStyle w:val="Heading2"/>
      </w:pPr>
      <w:r>
        <w:t>1.3 Stakeholders</w:t>
      </w:r>
    </w:p>
    <w:p w14:paraId="68501FBE" w14:textId="77777777" w:rsidR="008E2B31" w:rsidRDefault="00000000">
      <w:pPr>
        <w:pStyle w:val="ListBullet"/>
        <w:spacing w:after="40"/>
      </w:pPr>
      <w:r>
        <w:t>Data center electrical engineers / project managers (provide designs, specs, settings, commissioning constraints)</w:t>
      </w:r>
    </w:p>
    <w:p w14:paraId="64DEA406" w14:textId="77777777" w:rsidR="008E2B31" w:rsidRDefault="00000000">
      <w:pPr>
        <w:pStyle w:val="ListBullet"/>
        <w:spacing w:after="40"/>
      </w:pPr>
      <w:r>
        <w:t>Transmission planners (consume outputs; validate, tune, and use in studies)</w:t>
      </w:r>
    </w:p>
    <w:p w14:paraId="4C475884" w14:textId="77777777" w:rsidR="008E2B31" w:rsidRDefault="00000000">
      <w:pPr>
        <w:pStyle w:val="ListBullet"/>
        <w:spacing w:after="40"/>
      </w:pPr>
      <w:r>
        <w:t>Utilities and ISOs/RTOs (process interconnection; may impose templates and data governance)</w:t>
      </w:r>
    </w:p>
    <w:p w14:paraId="681B8DBA" w14:textId="265F6AC3" w:rsidR="008E2B31" w:rsidRDefault="001A775B">
      <w:pPr>
        <w:pStyle w:val="ListBullet"/>
        <w:spacing w:after="40"/>
      </w:pPr>
      <w:proofErr w:type="spellStart"/>
      <w:r>
        <w:t>GridSenpAI</w:t>
      </w:r>
      <w:proofErr w:type="spellEnd"/>
      <w:r w:rsidR="00000000">
        <w:t xml:space="preserve"> administrators (manage access, indexing, retention, and audit)</w:t>
      </w:r>
    </w:p>
    <w:p w14:paraId="0419073E" w14:textId="77777777" w:rsidR="008E2B31" w:rsidRDefault="00000000">
      <w:pPr>
        <w:pStyle w:val="ListBullet"/>
        <w:spacing w:after="40"/>
      </w:pPr>
      <w:r>
        <w:t>Security/compliance stakeholders (review handling of sensitive infrastructure documents)</w:t>
      </w:r>
    </w:p>
    <w:p w14:paraId="4F3793DD" w14:textId="77777777" w:rsidR="008E2B31" w:rsidRDefault="00000000">
      <w:pPr>
        <w:pStyle w:val="Heading1"/>
      </w:pPr>
      <w:r>
        <w:lastRenderedPageBreak/>
        <w:t>2. System Overview</w:t>
      </w:r>
    </w:p>
    <w:p w14:paraId="223063EC" w14:textId="5C6AD55F" w:rsidR="008E2B31" w:rsidRDefault="001A775B">
      <w:pPr>
        <w:spacing w:after="120"/>
      </w:pPr>
      <w:proofErr w:type="spellStart"/>
      <w:r>
        <w:t>GridSenpAI</w:t>
      </w:r>
      <w:proofErr w:type="spellEnd"/>
      <w:r w:rsidR="00000000">
        <w:t xml:space="preserve"> functions as a translation layer between facility engineering artifacts and grid planning model inputs. It converts topology and equipment detail into simplified but study-usable behavioral parameters (e.g., ZIP coefficients, dynamic response bounds, ride-through assumptions) that can be directly entered into transmission planning tools.</w:t>
      </w:r>
    </w:p>
    <w:p w14:paraId="35761805" w14:textId="77777777" w:rsidR="008E2B31" w:rsidRDefault="00000000">
      <w:pPr>
        <w:spacing w:after="120"/>
      </w:pPr>
      <w:r>
        <w:t>Primary Watson components in the intended implementation include document ingestion and search (Watson Discovery), retrieval and reasoning for translation (watsonx.ai), and secure enterprise deployment (IBM Cloud services and OpenShift).</w:t>
      </w:r>
    </w:p>
    <w:p w14:paraId="0E845601" w14:textId="77777777" w:rsidR="008E2B31" w:rsidRDefault="00000000">
      <w:pPr>
        <w:pStyle w:val="Heading1"/>
      </w:pPr>
      <w:r>
        <w:t>3. Assumptions and Constraints</w:t>
      </w:r>
    </w:p>
    <w:p w14:paraId="05E42435" w14:textId="77777777" w:rsidR="008E2B31" w:rsidRDefault="00000000">
      <w:pPr>
        <w:pStyle w:val="ListBullet"/>
        <w:spacing w:after="40"/>
      </w:pPr>
      <w:r>
        <w:t>Facility documentation may be incomplete early in the interconnection timeline; the system must support partial inputs and generate targeted follow-up questions.</w:t>
      </w:r>
    </w:p>
    <w:p w14:paraId="1C4DAF71" w14:textId="77777777" w:rsidR="008E2B31" w:rsidRDefault="00000000">
      <w:pPr>
        <w:pStyle w:val="ListBullet"/>
        <w:spacing w:after="40"/>
      </w:pPr>
      <w:r>
        <w:t>Some parameters are not directly derivable from datasheets and require assumptions, bounds, or later calibration with commissioning/telemetry data.</w:t>
      </w:r>
    </w:p>
    <w:p w14:paraId="6B503FA4" w14:textId="77777777" w:rsidR="008E2B31" w:rsidRDefault="00000000">
      <w:pPr>
        <w:pStyle w:val="ListBullet"/>
        <w:spacing w:after="40"/>
      </w:pPr>
      <w:r>
        <w:t>Sensitive infrastructure data must be protected with strong access control, encryption, and auditability.</w:t>
      </w:r>
    </w:p>
    <w:p w14:paraId="00A65C43" w14:textId="77777777" w:rsidR="008E2B31" w:rsidRDefault="00000000">
      <w:pPr>
        <w:pStyle w:val="ListBullet"/>
        <w:spacing w:after="40"/>
      </w:pPr>
      <w:r>
        <w:t>Outputs must be traceable: each derived parameter must reference its evidence source(s) and/or the rule used for inference.</w:t>
      </w:r>
    </w:p>
    <w:p w14:paraId="092E1630" w14:textId="77777777" w:rsidR="008E2B31" w:rsidRDefault="00000000">
      <w:pPr>
        <w:pStyle w:val="Heading1"/>
      </w:pPr>
      <w:r>
        <w:t>4. Functional Requirements</w:t>
      </w:r>
    </w:p>
    <w:p w14:paraId="0BD15B1F" w14:textId="77777777" w:rsidR="008E2B31" w:rsidRDefault="00000000">
      <w:pPr>
        <w:spacing w:after="120"/>
      </w:pPr>
      <w:r>
        <w:t xml:space="preserve">FR1: The system shall </w:t>
      </w:r>
      <w:proofErr w:type="gramStart"/>
      <w:r>
        <w:t>ingest</w:t>
      </w:r>
      <w:proofErr w:type="gramEnd"/>
      <w:r>
        <w:t xml:space="preserve"> facility electrical design artifacts (one-line diagrams, equipment schedules, protection summaries, commissioning plans). Document </w:t>
      </w:r>
      <w:proofErr w:type="gramStart"/>
      <w:r>
        <w:t>ingestion</w:t>
      </w:r>
      <w:proofErr w:type="gramEnd"/>
      <w:r>
        <w:t xml:space="preserve"> (IBM Watson Discovery).</w:t>
      </w:r>
    </w:p>
    <w:p w14:paraId="79A17BBD" w14:textId="77777777" w:rsidR="008E2B31" w:rsidRDefault="00000000">
      <w:pPr>
        <w:spacing w:after="120"/>
      </w:pPr>
      <w:r>
        <w:t>FR2: The system shall parse ingested documents and extract structured entities (equipment types, ratings, topology cues, settings). Document parsing (IBM Watson Discovery enrichments + watsonx.ai).</w:t>
      </w:r>
    </w:p>
    <w:p w14:paraId="43150CCD" w14:textId="77777777" w:rsidR="008E2B31" w:rsidRDefault="00000000">
      <w:pPr>
        <w:spacing w:after="120"/>
      </w:pPr>
      <w:r>
        <w:t>FR3: The system shall retrieve vendor specification details and modeling references using retrieval-augmented generation. RAG (IBM Watson Discovery + watsonx.ai).</w:t>
      </w:r>
    </w:p>
    <w:p w14:paraId="1998FA27" w14:textId="53014D3F" w:rsidR="008E2B31" w:rsidRDefault="00000000">
      <w:pPr>
        <w:spacing w:after="120"/>
      </w:pPr>
      <w:r>
        <w:t xml:space="preserve">FR4: The system shall normalize extracted inputs into a structured internal schema aligned to </w:t>
      </w:r>
      <w:proofErr w:type="spellStart"/>
      <w:r w:rsidR="001A775B">
        <w:t>GridSenpAI</w:t>
      </w:r>
      <w:r>
        <w:t>_inputs_</w:t>
      </w:r>
      <w:proofErr w:type="gramStart"/>
      <w:r>
        <w:t>schema.json</w:t>
      </w:r>
      <w:proofErr w:type="spellEnd"/>
      <w:proofErr w:type="gramEnd"/>
      <w:r>
        <w:t xml:space="preserve"> (Relational database (IBM Db2 / PostgreSQL)).</w:t>
      </w:r>
    </w:p>
    <w:p w14:paraId="1CC1704E" w14:textId="57527A46" w:rsidR="008E2B31" w:rsidRDefault="00000000">
      <w:pPr>
        <w:spacing w:after="120"/>
      </w:pPr>
      <w:r>
        <w:t xml:space="preserve">FR5: The system shall generate TP-ready modeling outputs aligned to </w:t>
      </w:r>
      <w:proofErr w:type="spellStart"/>
      <w:r w:rsidR="001A775B">
        <w:t>GridSenpAI</w:t>
      </w:r>
      <w:r>
        <w:t>_outputs_</w:t>
      </w:r>
      <w:proofErr w:type="gramStart"/>
      <w:r>
        <w:t>schema.json</w:t>
      </w:r>
      <w:proofErr w:type="spellEnd"/>
      <w:proofErr w:type="gramEnd"/>
      <w:r>
        <w:t>, including steady-state, ZIP, dynamic parameters, composition, ramping, and flags.</w:t>
      </w:r>
    </w:p>
    <w:p w14:paraId="43FE1469" w14:textId="77777777" w:rsidR="008E2B31" w:rsidRDefault="00000000">
      <w:pPr>
        <w:spacing w:after="120"/>
      </w:pPr>
      <w:r>
        <w:t xml:space="preserve">FR6: The system </w:t>
      </w:r>
      <w:proofErr w:type="gramStart"/>
      <w:r>
        <w:t>shall</w:t>
      </w:r>
      <w:proofErr w:type="gramEnd"/>
      <w:r>
        <w:t xml:space="preserve"> output a modeling packet that </w:t>
      </w:r>
      <w:proofErr w:type="gramStart"/>
      <w:r>
        <w:t>includes:</w:t>
      </w:r>
      <w:proofErr w:type="gramEnd"/>
      <w:r>
        <w:t xml:space="preserve"> parameters, assumptions, confidence tags, and citations to evidence sources (traceability).</w:t>
      </w:r>
    </w:p>
    <w:p w14:paraId="0561E334" w14:textId="77777777" w:rsidR="008E2B31" w:rsidRDefault="00000000">
      <w:pPr>
        <w:spacing w:after="120"/>
      </w:pPr>
      <w:r>
        <w:t>FR7: The system shall generate multiple modeling scenarios (Typical, Conservative, Best-case) with explicit parameter bounds and rationale.</w:t>
      </w:r>
    </w:p>
    <w:p w14:paraId="1755FA50" w14:textId="77777777" w:rsidR="008E2B31" w:rsidRDefault="00000000">
      <w:pPr>
        <w:spacing w:after="120"/>
      </w:pPr>
      <w:r>
        <w:lastRenderedPageBreak/>
        <w:t>FR8: The system shall identify missing or ambiguous information and generate a precise follow-up question list suitable for the facility engineer.</w:t>
      </w:r>
    </w:p>
    <w:p w14:paraId="5870A049" w14:textId="77777777" w:rsidR="008E2B31" w:rsidRDefault="00000000">
      <w:pPr>
        <w:spacing w:after="120"/>
      </w:pPr>
      <w:r>
        <w:t xml:space="preserve">FR9: The system </w:t>
      </w:r>
      <w:proofErr w:type="gramStart"/>
      <w:r>
        <w:t>shall</w:t>
      </w:r>
      <w:proofErr w:type="gramEnd"/>
      <w:r>
        <w:t xml:space="preserve"> support export formats including structured JSON outputs and a human-readable Word/PDF packet; optional tool templates may be generated (e.g., parameter sheets).</w:t>
      </w:r>
    </w:p>
    <w:p w14:paraId="73C1E676" w14:textId="77777777" w:rsidR="008E2B31" w:rsidRDefault="00000000">
      <w:pPr>
        <w:spacing w:after="120"/>
      </w:pPr>
      <w:r>
        <w:t>FR10: The system shall support re-run/</w:t>
      </w:r>
      <w:proofErr w:type="gramStart"/>
      <w:r>
        <w:t>versioning:</w:t>
      </w:r>
      <w:proofErr w:type="gramEnd"/>
      <w:r>
        <w:t xml:space="preserve"> given updated inputs, outputs are regenerated with a version label and a changelog of parameter differences.</w:t>
      </w:r>
    </w:p>
    <w:p w14:paraId="70B323D1" w14:textId="77777777" w:rsidR="008E2B31" w:rsidRDefault="00000000">
      <w:pPr>
        <w:spacing w:after="120"/>
      </w:pPr>
      <w:r>
        <w:t>FR11: The system shall support an optional validation workflow where commissioning/telemetry observations can update model parameters and reduce uncertainty over time.</w:t>
      </w:r>
    </w:p>
    <w:p w14:paraId="2371F8F2" w14:textId="77777777" w:rsidR="008E2B31" w:rsidRDefault="00000000">
      <w:pPr>
        <w:pStyle w:val="Heading1"/>
      </w:pPr>
      <w:r>
        <w:t>5. Non-Functional Requirements</w:t>
      </w:r>
    </w:p>
    <w:p w14:paraId="666824AB" w14:textId="77777777" w:rsidR="008E2B31" w:rsidRDefault="00000000">
      <w:pPr>
        <w:spacing w:after="120"/>
      </w:pPr>
      <w:r>
        <w:t xml:space="preserve">NFR1 Security: The system shall enforce </w:t>
      </w:r>
      <w:proofErr w:type="gramStart"/>
      <w:r>
        <w:t>least-privilege</w:t>
      </w:r>
      <w:proofErr w:type="gramEnd"/>
      <w:r>
        <w:t xml:space="preserve"> access to facility documents and derived parameters (Identity and access management (IBM Cloud IAM)).</w:t>
      </w:r>
    </w:p>
    <w:p w14:paraId="44539C45" w14:textId="77777777" w:rsidR="008E2B31" w:rsidRDefault="00000000">
      <w:pPr>
        <w:spacing w:after="120"/>
      </w:pPr>
      <w:r>
        <w:t xml:space="preserve">NFR2 Encryption: The system shall encrypt documents at rest and in transit (Key management (IBM Key Protect); Object storage (IBM Cloud Object </w:t>
      </w:r>
      <w:proofErr w:type="gramStart"/>
      <w:r>
        <w:t>Storage))</w:t>
      </w:r>
      <w:proofErr w:type="gramEnd"/>
      <w:r>
        <w:t>.</w:t>
      </w:r>
    </w:p>
    <w:p w14:paraId="569EEF56" w14:textId="77777777" w:rsidR="008E2B31" w:rsidRDefault="00000000">
      <w:pPr>
        <w:spacing w:after="120"/>
      </w:pPr>
      <w:r>
        <w:t xml:space="preserve">NFR3 Auditability: The system shall </w:t>
      </w:r>
      <w:proofErr w:type="gramStart"/>
      <w:r>
        <w:t>log</w:t>
      </w:r>
      <w:proofErr w:type="gramEnd"/>
      <w:r>
        <w:t xml:space="preserve"> access and model generation events for audit (Observability / monitoring (IBM </w:t>
      </w:r>
      <w:proofErr w:type="spellStart"/>
      <w:r>
        <w:t>Instana</w:t>
      </w:r>
      <w:proofErr w:type="spellEnd"/>
      <w:r>
        <w:t xml:space="preserve"> / IBM Log </w:t>
      </w:r>
      <w:proofErr w:type="gramStart"/>
      <w:r>
        <w:t>Analysis))</w:t>
      </w:r>
      <w:proofErr w:type="gramEnd"/>
      <w:r>
        <w:t>.</w:t>
      </w:r>
    </w:p>
    <w:p w14:paraId="2A50A224" w14:textId="77777777" w:rsidR="008E2B31" w:rsidRDefault="00000000">
      <w:pPr>
        <w:spacing w:after="120"/>
      </w:pPr>
      <w:r>
        <w:t>NFR4 Traceability: Each output parameter shall include provenance: source document, retrieval snippet ID, or rule/inference reference.</w:t>
      </w:r>
    </w:p>
    <w:p w14:paraId="72690821" w14:textId="77777777" w:rsidR="008E2B31" w:rsidRDefault="00000000">
      <w:pPr>
        <w:spacing w:after="120"/>
      </w:pPr>
      <w:r>
        <w:t>NFR5 Reproducibility: Given the same inputs and pinned model/version, outputs shall be reproducible within documented tolerance.</w:t>
      </w:r>
    </w:p>
    <w:p w14:paraId="4269DE03" w14:textId="77777777" w:rsidR="008E2B31" w:rsidRDefault="00000000">
      <w:pPr>
        <w:spacing w:after="120"/>
      </w:pPr>
      <w:r>
        <w:t>NFR6 Performance: For a typical submission set (&lt;500 pages of specs), produce an initial modeling packet within an operationally acceptable timeframe for engineering workflow.</w:t>
      </w:r>
    </w:p>
    <w:p w14:paraId="7276F506" w14:textId="77777777" w:rsidR="008E2B31" w:rsidRDefault="00000000">
      <w:pPr>
        <w:spacing w:after="120"/>
      </w:pPr>
      <w:r>
        <w:t>NFR7 Availability: System shall support high availability for enterprise use cases when deployed to production (Deployment (Red Hat OpenShift)).</w:t>
      </w:r>
    </w:p>
    <w:p w14:paraId="58A2E283" w14:textId="77777777" w:rsidR="008E2B31" w:rsidRDefault="00000000">
      <w:pPr>
        <w:spacing w:after="120"/>
      </w:pPr>
      <w:r>
        <w:t>NFR8 Data retention: Configurable retention and deletion policies for proprietary documents (Watson Discovery + IBM Cloud storage policies).</w:t>
      </w:r>
    </w:p>
    <w:p w14:paraId="7BD894D3" w14:textId="77777777" w:rsidR="008E2B31" w:rsidRDefault="00000000">
      <w:pPr>
        <w:pStyle w:val="Heading1"/>
      </w:pPr>
      <w:r>
        <w:t>6. AI and RAG Architecture</w:t>
      </w:r>
    </w:p>
    <w:p w14:paraId="3ED26FAB" w14:textId="658E73DF" w:rsidR="008E2B31" w:rsidRDefault="001A775B">
      <w:pPr>
        <w:spacing w:after="120"/>
      </w:pPr>
      <w:proofErr w:type="spellStart"/>
      <w:r>
        <w:t>GridSenpAI</w:t>
      </w:r>
      <w:proofErr w:type="spellEnd"/>
      <w:r w:rsidR="00000000">
        <w:t xml:space="preserve"> uses an AI pipeline where document retrieval provides grounded context for parameter extraction and translation. RAG (IBM Watson Discovery + watsonx.ai) is used to locate relevant specification passages and modeling rules; watsonx.ai performs structured extraction and translation into the output schema.</w:t>
      </w:r>
    </w:p>
    <w:p w14:paraId="2A12C744" w14:textId="77777777" w:rsidR="008E2B31" w:rsidRDefault="00000000">
      <w:pPr>
        <w:pStyle w:val="Heading2"/>
      </w:pPr>
      <w:r>
        <w:t>6.1 Knowledge Bases</w:t>
      </w:r>
    </w:p>
    <w:p w14:paraId="2D7354DF" w14:textId="77777777" w:rsidR="008E2B31" w:rsidRDefault="00000000">
      <w:pPr>
        <w:pStyle w:val="ListBullet"/>
        <w:spacing w:after="40"/>
      </w:pPr>
      <w:r>
        <w:t>Vendor spec corpus (UPS, generators, transformers, switchgear, relays, VFDs) indexed for search and vector retrieval (Watson Discovery).</w:t>
      </w:r>
    </w:p>
    <w:p w14:paraId="3C8BA855" w14:textId="77777777" w:rsidR="008E2B31" w:rsidRDefault="00000000">
      <w:pPr>
        <w:pStyle w:val="ListBullet"/>
        <w:spacing w:after="40"/>
      </w:pPr>
      <w:r>
        <w:lastRenderedPageBreak/>
        <w:t>Modeling reference corpus (IEEE/CIGRE guidance, ISO templates, tool parameter references) indexed similarly (Watson Discovery).</w:t>
      </w:r>
    </w:p>
    <w:p w14:paraId="54C59CFE" w14:textId="77777777" w:rsidR="008E2B31" w:rsidRDefault="00000000">
      <w:pPr>
        <w:pStyle w:val="ListBullet"/>
        <w:spacing w:after="40"/>
      </w:pPr>
      <w:r>
        <w:t>Internal mapping rules and parameter dictionary maintained as versioned content (Relational database (IBM Db2 / PostgreSQL)).</w:t>
      </w:r>
    </w:p>
    <w:p w14:paraId="3C24AD7E" w14:textId="77777777" w:rsidR="008E2B31" w:rsidRDefault="00000000">
      <w:pPr>
        <w:pStyle w:val="Heading2"/>
      </w:pPr>
      <w:r>
        <w:t>6.2 Guardrails to Reduce Hallucination</w:t>
      </w:r>
    </w:p>
    <w:p w14:paraId="66207FDB" w14:textId="77777777" w:rsidR="008E2B31" w:rsidRDefault="00000000">
      <w:pPr>
        <w:pStyle w:val="ListBullet"/>
        <w:spacing w:after="40"/>
      </w:pPr>
      <w:r>
        <w:t>Parameter generation must cite evidence passages or explicitly mark an assumption.</w:t>
      </w:r>
    </w:p>
    <w:p w14:paraId="07D5E089" w14:textId="77777777" w:rsidR="008E2B31" w:rsidRDefault="00000000">
      <w:pPr>
        <w:pStyle w:val="ListBullet"/>
        <w:spacing w:after="40"/>
      </w:pPr>
      <w:r>
        <w:t>If required evidence cannot be retrieved, output must include a missing-data request rather than fabricate values.</w:t>
      </w:r>
    </w:p>
    <w:p w14:paraId="3313916E" w14:textId="77777777" w:rsidR="008E2B31" w:rsidRDefault="00000000">
      <w:pPr>
        <w:pStyle w:val="ListBullet"/>
        <w:spacing w:after="40"/>
      </w:pPr>
      <w:r>
        <w:t>Scenario outputs must include bounds and confidence tags, not single-point claims without support.</w:t>
      </w:r>
    </w:p>
    <w:p w14:paraId="10BF0281" w14:textId="77777777" w:rsidR="008E2B31" w:rsidRDefault="00000000">
      <w:pPr>
        <w:pStyle w:val="Heading1"/>
      </w:pPr>
      <w:r>
        <w:t>7. Data Pipeline</w:t>
      </w:r>
    </w:p>
    <w:p w14:paraId="0ACFC4AA" w14:textId="77777777" w:rsidR="008E2B31" w:rsidRDefault="00000000">
      <w:pPr>
        <w:pStyle w:val="ListNumber"/>
        <w:spacing w:after="40"/>
      </w:pPr>
      <w:r>
        <w:t xml:space="preserve">Upload/ingest facility artifacts. Document </w:t>
      </w:r>
      <w:proofErr w:type="gramStart"/>
      <w:r>
        <w:t>ingestion</w:t>
      </w:r>
      <w:proofErr w:type="gramEnd"/>
      <w:r>
        <w:t xml:space="preserve"> (IBM Watson Discovery).</w:t>
      </w:r>
    </w:p>
    <w:p w14:paraId="5FB87144" w14:textId="77777777" w:rsidR="008E2B31" w:rsidRDefault="00000000">
      <w:pPr>
        <w:pStyle w:val="ListNumber"/>
        <w:spacing w:after="40"/>
      </w:pPr>
      <w:r>
        <w:t>Parse documents, extract entities, and normalize values/units. Document parsing (IBM Watson Discovery + watsonx.ai).</w:t>
      </w:r>
    </w:p>
    <w:p w14:paraId="41DE30CB" w14:textId="77777777" w:rsidR="008E2B31" w:rsidRDefault="00000000">
      <w:pPr>
        <w:pStyle w:val="ListNumber"/>
        <w:spacing w:after="40"/>
      </w:pPr>
      <w:r>
        <w:t>Retrieve supporting vendor/modeling references. RAG (IBM Watson Discovery + watsonx.ai).</w:t>
      </w:r>
    </w:p>
    <w:p w14:paraId="0402B597" w14:textId="77777777" w:rsidR="008E2B31" w:rsidRDefault="00000000">
      <w:pPr>
        <w:pStyle w:val="ListNumber"/>
        <w:spacing w:after="40"/>
      </w:pPr>
      <w:proofErr w:type="gramStart"/>
      <w:r>
        <w:t>Compute</w:t>
      </w:r>
      <w:proofErr w:type="gramEnd"/>
      <w:r>
        <w:t xml:space="preserve"> facility equivalent composition and behavioral flags using translation rules.</w:t>
      </w:r>
    </w:p>
    <w:p w14:paraId="76FD0D29" w14:textId="77777777" w:rsidR="008E2B31" w:rsidRDefault="00000000">
      <w:pPr>
        <w:pStyle w:val="ListNumber"/>
        <w:spacing w:after="40"/>
      </w:pPr>
      <w:r>
        <w:t>Generate output parameters and scenario variants; attach provenance and confidence.</w:t>
      </w:r>
    </w:p>
    <w:p w14:paraId="64EEDDA5" w14:textId="77777777" w:rsidR="008E2B31" w:rsidRDefault="00000000">
      <w:pPr>
        <w:pStyle w:val="ListNumber"/>
        <w:spacing w:after="40"/>
      </w:pPr>
      <w:r>
        <w:t>Package outputs for TP consumption and archive the run with version metadata.</w:t>
      </w:r>
    </w:p>
    <w:p w14:paraId="3AB9F79B" w14:textId="77777777" w:rsidR="008E2B31" w:rsidRDefault="00000000">
      <w:pPr>
        <w:pStyle w:val="Heading1"/>
      </w:pPr>
      <w:r>
        <w:t>8. Data Schemas</w:t>
      </w:r>
    </w:p>
    <w:p w14:paraId="0B5CC808" w14:textId="065673B1" w:rsidR="008E2B31" w:rsidRDefault="001A775B">
      <w:pPr>
        <w:spacing w:after="120"/>
      </w:pPr>
      <w:proofErr w:type="spellStart"/>
      <w:r>
        <w:t>GridSenpAI</w:t>
      </w:r>
      <w:proofErr w:type="spellEnd"/>
      <w:r w:rsidR="00000000">
        <w:t xml:space="preserve"> shall implement and enforce the input and output schemas previously defined (</w:t>
      </w:r>
      <w:proofErr w:type="spellStart"/>
      <w:r>
        <w:t>GridSenpAI</w:t>
      </w:r>
      <w:r w:rsidR="00000000">
        <w:t>_inputs_</w:t>
      </w:r>
      <w:proofErr w:type="gramStart"/>
      <w:r w:rsidR="00000000">
        <w:t>schema.json</w:t>
      </w:r>
      <w:proofErr w:type="spellEnd"/>
      <w:proofErr w:type="gramEnd"/>
      <w:r w:rsidR="00000000">
        <w:t xml:space="preserve"> and </w:t>
      </w:r>
      <w:proofErr w:type="spellStart"/>
      <w:r>
        <w:t>GridSenpAI</w:t>
      </w:r>
      <w:r w:rsidR="00000000">
        <w:t>_outputs_</w:t>
      </w:r>
      <w:proofErr w:type="gramStart"/>
      <w:r w:rsidR="00000000">
        <w:t>schema.json</w:t>
      </w:r>
      <w:proofErr w:type="spellEnd"/>
      <w:proofErr w:type="gramEnd"/>
      <w:r w:rsidR="00000000">
        <w:t>). Schema validation rules (required fields, units, ranges) shall be implemented at ingestion and pre-export.</w:t>
      </w:r>
    </w:p>
    <w:p w14:paraId="0172A2C4" w14:textId="77777777" w:rsidR="008E2B31" w:rsidRDefault="00000000">
      <w:pPr>
        <w:pStyle w:val="Heading1"/>
      </w:pPr>
      <w:r>
        <w:t>9. Validation and Calibration</w:t>
      </w:r>
    </w:p>
    <w:p w14:paraId="25DAF419" w14:textId="6365B273" w:rsidR="008E2B31" w:rsidRDefault="001A775B">
      <w:pPr>
        <w:spacing w:after="120"/>
      </w:pPr>
      <w:proofErr w:type="spellStart"/>
      <w:r>
        <w:t>GridSenpAI</w:t>
      </w:r>
      <w:proofErr w:type="spellEnd"/>
      <w:r w:rsidR="00000000">
        <w:t xml:space="preserve"> shall support iterative refinement by incorporating commissioning results and/or telemetry (where available) to update parameters, reduce bounds, and increase confidence. This workflow must preserve version history and auditability.</w:t>
      </w:r>
    </w:p>
    <w:p w14:paraId="5BD33414" w14:textId="77777777" w:rsidR="008E2B31" w:rsidRDefault="00000000">
      <w:pPr>
        <w:pStyle w:val="Heading1"/>
      </w:pPr>
      <w:r>
        <w:t>10. Security and Compliance</w:t>
      </w:r>
    </w:p>
    <w:p w14:paraId="5081D62B" w14:textId="77777777" w:rsidR="008E2B31" w:rsidRDefault="00000000">
      <w:pPr>
        <w:pStyle w:val="ListBullet"/>
        <w:spacing w:after="40"/>
      </w:pPr>
      <w:r>
        <w:t>Sensitive document storage with encryption at rest and in transit (IBM Cloud Object Storage + IBM Key Protect).</w:t>
      </w:r>
    </w:p>
    <w:p w14:paraId="20020B30" w14:textId="77777777" w:rsidR="008E2B31" w:rsidRDefault="00000000">
      <w:pPr>
        <w:pStyle w:val="ListBullet"/>
        <w:spacing w:after="40"/>
      </w:pPr>
      <w:r>
        <w:t>Fine-grained access control and project-level isolation (IBM Cloud IAM).</w:t>
      </w:r>
    </w:p>
    <w:p w14:paraId="0973E291" w14:textId="77777777" w:rsidR="008E2B31" w:rsidRDefault="00000000">
      <w:pPr>
        <w:pStyle w:val="ListBullet"/>
        <w:spacing w:after="40"/>
      </w:pPr>
      <w:r>
        <w:t xml:space="preserve">Audit logging for access, export, and model-generation actions (IBM </w:t>
      </w:r>
      <w:proofErr w:type="spellStart"/>
      <w:r>
        <w:t>Instana</w:t>
      </w:r>
      <w:proofErr w:type="spellEnd"/>
      <w:r>
        <w:t xml:space="preserve"> / IBM Log Analysis).</w:t>
      </w:r>
    </w:p>
    <w:p w14:paraId="3DC79C02" w14:textId="77777777" w:rsidR="008E2B31" w:rsidRDefault="00000000">
      <w:pPr>
        <w:pStyle w:val="ListBullet"/>
        <w:spacing w:after="40"/>
      </w:pPr>
      <w:r>
        <w:lastRenderedPageBreak/>
        <w:t>Secrets handling for system integrations (IBM Secrets Manager).</w:t>
      </w:r>
    </w:p>
    <w:p w14:paraId="2DB8CF92" w14:textId="77777777" w:rsidR="008E2B31" w:rsidRDefault="00000000">
      <w:pPr>
        <w:pStyle w:val="Heading1"/>
      </w:pPr>
      <w:r>
        <w:t>11. Acceptance Criteria</w:t>
      </w:r>
    </w:p>
    <w:p w14:paraId="25FFDB86" w14:textId="598FA0C7" w:rsidR="008E2B31" w:rsidRDefault="00000000">
      <w:pPr>
        <w:pStyle w:val="ListBullet"/>
        <w:spacing w:after="40"/>
      </w:pPr>
      <w:r>
        <w:t xml:space="preserve">Given a representative facility submission, </w:t>
      </w:r>
      <w:proofErr w:type="spellStart"/>
      <w:r w:rsidR="001A775B">
        <w:t>GridSenpAI</w:t>
      </w:r>
      <w:proofErr w:type="spellEnd"/>
      <w:r>
        <w:t xml:space="preserve"> produces a TP-ready parameter packet with scenario bounds and confidence tags.</w:t>
      </w:r>
    </w:p>
    <w:p w14:paraId="63956218" w14:textId="77777777" w:rsidR="008E2B31" w:rsidRDefault="00000000">
      <w:pPr>
        <w:pStyle w:val="ListBullet"/>
        <w:spacing w:after="40"/>
      </w:pPr>
      <w:r>
        <w:t>Every derived parameter links to evidence or a documented rule/assumption.</w:t>
      </w:r>
    </w:p>
    <w:p w14:paraId="74E11852" w14:textId="77777777" w:rsidR="008E2B31" w:rsidRDefault="00000000">
      <w:pPr>
        <w:pStyle w:val="ListBullet"/>
        <w:spacing w:after="40"/>
      </w:pPr>
      <w:r>
        <w:t>System produces a missing-information list when required inputs are absent.</w:t>
      </w:r>
    </w:p>
    <w:p w14:paraId="7A6EE750" w14:textId="77777777" w:rsidR="008E2B31" w:rsidRDefault="00000000">
      <w:pPr>
        <w:pStyle w:val="ListBullet"/>
        <w:spacing w:after="40"/>
      </w:pPr>
      <w:r>
        <w:t xml:space="preserve">Exports are consistent with the output </w:t>
      </w:r>
      <w:proofErr w:type="gramStart"/>
      <w:r>
        <w:t>schema</w:t>
      </w:r>
      <w:proofErr w:type="gramEnd"/>
      <w:r>
        <w:t xml:space="preserve"> and are usable in planner workflows.</w:t>
      </w:r>
    </w:p>
    <w:sectPr w:rsidR="008E2B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195100">
    <w:abstractNumId w:val="8"/>
  </w:num>
  <w:num w:numId="2" w16cid:durableId="667294051">
    <w:abstractNumId w:val="6"/>
  </w:num>
  <w:num w:numId="3" w16cid:durableId="318849453">
    <w:abstractNumId w:val="5"/>
  </w:num>
  <w:num w:numId="4" w16cid:durableId="268785128">
    <w:abstractNumId w:val="4"/>
  </w:num>
  <w:num w:numId="5" w16cid:durableId="419185625">
    <w:abstractNumId w:val="7"/>
  </w:num>
  <w:num w:numId="6" w16cid:durableId="443767617">
    <w:abstractNumId w:val="3"/>
  </w:num>
  <w:num w:numId="7" w16cid:durableId="1072702340">
    <w:abstractNumId w:val="2"/>
  </w:num>
  <w:num w:numId="8" w16cid:durableId="972712403">
    <w:abstractNumId w:val="1"/>
  </w:num>
  <w:num w:numId="9" w16cid:durableId="135535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586"/>
    <w:rsid w:val="001A775B"/>
    <w:rsid w:val="0029639D"/>
    <w:rsid w:val="00326F90"/>
    <w:rsid w:val="00365CBC"/>
    <w:rsid w:val="008E2B31"/>
    <w:rsid w:val="00AA1D8D"/>
    <w:rsid w:val="00B47730"/>
    <w:rsid w:val="00BE5A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95BCD"/>
  <w14:defaultImageDpi w14:val="300"/>
  <w15:docId w15:val="{A25F5AB8-F9FC-472E-B2F2-E3788A0E1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1344</Words>
  <Characters>7664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Thad M</cp:lastModifiedBy>
  <cp:revision>4</cp:revision>
  <dcterms:created xsi:type="dcterms:W3CDTF">2013-12-23T23:15:00Z</dcterms:created>
  <dcterms:modified xsi:type="dcterms:W3CDTF">2026-03-05T16:34:00Z</dcterms:modified>
  <cp:category/>
</cp:coreProperties>
</file>