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1E4E" w14:textId="47165E1C" w:rsidR="001A060C" w:rsidRDefault="002539B8">
      <w:pPr>
        <w:pStyle w:val="Title"/>
      </w:pPr>
      <w:proofErr w:type="spellStart"/>
      <w:r>
        <w:t>GridSenpAI</w:t>
      </w:r>
      <w:proofErr w:type="spellEnd"/>
      <w:r w:rsidR="00000000">
        <w:t xml:space="preserve"> System Architecture Document </w:t>
      </w:r>
    </w:p>
    <w:p w14:paraId="37BE7831" w14:textId="77777777" w:rsidR="001A060C" w:rsidRDefault="00000000">
      <w:pPr>
        <w:pStyle w:val="Heading1"/>
      </w:pPr>
      <w:r>
        <w:t>1. Overview</w:t>
      </w:r>
    </w:p>
    <w:p w14:paraId="2115D22F" w14:textId="704F73FD" w:rsidR="001A060C" w:rsidRDefault="002539B8">
      <w:pPr>
        <w:spacing w:after="120"/>
      </w:pPr>
      <w:proofErr w:type="spellStart"/>
      <w:r>
        <w:t>GridSenpAI</w:t>
      </w:r>
      <w:proofErr w:type="spellEnd"/>
      <w:r w:rsidR="00000000">
        <w:t xml:space="preserve"> translates data center electrical facility artifacts into transmission-planning-ready model parameters. The architecture is platform-aware: IBM Watson products are referenced in parentheses next to the corresponding agnostic capability.</w:t>
      </w:r>
    </w:p>
    <w:p w14:paraId="5D2D1B81" w14:textId="77777777" w:rsidR="001A060C" w:rsidRDefault="00000000">
      <w:pPr>
        <w:pStyle w:val="Heading1"/>
      </w:pPr>
      <w:r>
        <w:t>2. Architecture Goals</w:t>
      </w:r>
    </w:p>
    <w:p w14:paraId="26851A2D" w14:textId="77777777" w:rsidR="001A060C" w:rsidRDefault="00000000">
      <w:pPr>
        <w:pStyle w:val="ListBullet"/>
        <w:spacing w:after="40"/>
      </w:pPr>
      <w:r>
        <w:t>Grounded outputs: every parameter must be traceable to evidence or declared assumptions.</w:t>
      </w:r>
    </w:p>
    <w:p w14:paraId="5B4A02EB" w14:textId="77777777" w:rsidR="001A060C" w:rsidRDefault="00000000">
      <w:pPr>
        <w:pStyle w:val="ListBullet"/>
        <w:spacing w:after="40"/>
      </w:pPr>
      <w:r>
        <w:t>Fast iteration: support partial inputs, progressive refinement, and versioned re-runs.</w:t>
      </w:r>
    </w:p>
    <w:p w14:paraId="415ED1A7" w14:textId="77777777" w:rsidR="001A060C" w:rsidRDefault="00000000">
      <w:pPr>
        <w:pStyle w:val="ListBullet"/>
        <w:spacing w:after="40"/>
      </w:pPr>
      <w:r>
        <w:t>Enterprise security: protect sensitive facility data with IAM, encryption, and audit logs.</w:t>
      </w:r>
    </w:p>
    <w:p w14:paraId="6D9DDD2A" w14:textId="77777777" w:rsidR="001A060C" w:rsidRDefault="00000000">
      <w:pPr>
        <w:pStyle w:val="ListBullet"/>
        <w:spacing w:after="40"/>
      </w:pPr>
      <w:r>
        <w:t>Tool-ready exports: deliver artifacts that match TP workflows (parameter sheets + JSON exports).</w:t>
      </w:r>
    </w:p>
    <w:p w14:paraId="5C3A8ADE" w14:textId="77777777" w:rsidR="001A060C" w:rsidRDefault="00000000">
      <w:pPr>
        <w:pStyle w:val="Heading1"/>
      </w:pPr>
      <w:r>
        <w:t>3. High-Level Component Diagram (Text)</w:t>
      </w:r>
    </w:p>
    <w:p w14:paraId="4CEE552B" w14:textId="77777777" w:rsidR="001A060C" w:rsidRDefault="00000000">
      <w:pPr>
        <w:spacing w:after="120"/>
      </w:pPr>
      <w:r>
        <w:t>Facility Artifacts → Ingestion → Parsing/Extraction → RAG Retrieval → Translation Engine → Output Packaging → Planner Deliverables</w:t>
      </w:r>
    </w:p>
    <w:p w14:paraId="6E462963" w14:textId="77777777" w:rsidR="001A060C" w:rsidRDefault="00000000">
      <w:pPr>
        <w:spacing w:after="120"/>
      </w:pPr>
      <w:r>
        <w:t>Document ingestion (IBM Watson Discovery); RAG (IBM Watson Discovery + watsonx.ai); Foundation model / LLM (watsonx.ai).</w:t>
      </w:r>
    </w:p>
    <w:p w14:paraId="14AEA1D8" w14:textId="77777777" w:rsidR="001A060C" w:rsidRDefault="00000000">
      <w:pPr>
        <w:pStyle w:val="Heading1"/>
      </w:pPr>
      <w:r>
        <w:t>4. Core Components</w:t>
      </w:r>
    </w:p>
    <w:p w14:paraId="0A839E15" w14:textId="77777777" w:rsidR="001A060C" w:rsidRDefault="00000000">
      <w:pPr>
        <w:pStyle w:val="Heading2"/>
      </w:pPr>
      <w:r>
        <w:t>4.1 Document Ingestion Service</w:t>
      </w:r>
    </w:p>
    <w:p w14:paraId="76545176" w14:textId="77777777" w:rsidR="001A060C" w:rsidRDefault="00000000">
      <w:pPr>
        <w:spacing w:after="120"/>
      </w:pPr>
      <w:r>
        <w:t>Responsibilities: upload, classify, store, index documents; manage project namespaces and retention policies. Document ingestion (IBM Watson Discovery) with Object storage (IBM Cloud Object Storage).</w:t>
      </w:r>
    </w:p>
    <w:p w14:paraId="1BC600CC" w14:textId="77777777" w:rsidR="001A060C" w:rsidRDefault="00000000">
      <w:pPr>
        <w:pStyle w:val="Heading2"/>
      </w:pPr>
      <w:r>
        <w:t>4.2 Parsing and Entity Extraction</w:t>
      </w:r>
    </w:p>
    <w:p w14:paraId="16195F5D" w14:textId="77777777" w:rsidR="001A060C" w:rsidRDefault="00000000">
      <w:pPr>
        <w:spacing w:after="120"/>
      </w:pPr>
      <w:r>
        <w:t>Responsibilities: extract equipment lists, ratings, impedance values, protection settings, topology cues from one-lines and schedules. Document parsing (IBM Watson Discovery enrichments + watsonx.ai).</w:t>
      </w:r>
    </w:p>
    <w:p w14:paraId="666C30AD" w14:textId="77777777" w:rsidR="001A060C" w:rsidRDefault="00000000">
      <w:pPr>
        <w:pStyle w:val="Heading2"/>
      </w:pPr>
      <w:r>
        <w:lastRenderedPageBreak/>
        <w:t>4.3 Knowledge Retrieval Layer</w:t>
      </w:r>
    </w:p>
    <w:p w14:paraId="5F943809" w14:textId="77777777" w:rsidR="001A060C" w:rsidRDefault="00000000">
      <w:pPr>
        <w:spacing w:after="120"/>
      </w:pPr>
      <w:r>
        <w:t>Responsibilities: retrieve vendor spec passages and modeling references for grounding translation. RAG (IBM Watson Discovery + watsonx.ai), using Vector database / vector search (IBM Watson Discovery vector index).</w:t>
      </w:r>
    </w:p>
    <w:p w14:paraId="54368D48" w14:textId="77777777" w:rsidR="001A060C" w:rsidRDefault="00000000">
      <w:pPr>
        <w:pStyle w:val="Heading2"/>
      </w:pPr>
      <w:r>
        <w:t>4.4 Parameter Translation Engine</w:t>
      </w:r>
    </w:p>
    <w:p w14:paraId="4BD6DF18" w14:textId="77777777" w:rsidR="001A060C" w:rsidRDefault="00000000">
      <w:pPr>
        <w:spacing w:after="120"/>
      </w:pPr>
      <w:r>
        <w:t>Responsibilities: convert normalized facility data + retrieved evidence into TP-ready parameters, scenario variants, and confidence tags. Foundation model / LLM (watsonx.ai) may be used for structured extraction, while deterministic rules handle unit conversion, bounds enforcement, and schema validation.</w:t>
      </w:r>
    </w:p>
    <w:p w14:paraId="0D3970B1" w14:textId="77777777" w:rsidR="001A060C" w:rsidRDefault="00000000">
      <w:pPr>
        <w:pStyle w:val="Heading2"/>
      </w:pPr>
      <w:r>
        <w:t>4.5 Output Packaging</w:t>
      </w:r>
    </w:p>
    <w:p w14:paraId="6FA4E906" w14:textId="77777777" w:rsidR="001A060C" w:rsidRDefault="00000000">
      <w:pPr>
        <w:spacing w:after="120"/>
      </w:pPr>
      <w:r>
        <w:t>Responsibilities: generate export packets (JSON outputs + human-readable report), include citations/provenance and changelogs. API management (IBM API Connect) for external access.</w:t>
      </w:r>
    </w:p>
    <w:p w14:paraId="248C8A43" w14:textId="77777777" w:rsidR="001A060C" w:rsidRDefault="00000000">
      <w:pPr>
        <w:pStyle w:val="Heading2"/>
      </w:pPr>
      <w:r>
        <w:t>4.6 Persistence Layer</w:t>
      </w:r>
    </w:p>
    <w:p w14:paraId="3EA0E237" w14:textId="77777777" w:rsidR="001A060C" w:rsidRDefault="00000000">
      <w:pPr>
        <w:pStyle w:val="ListBullet"/>
        <w:spacing w:after="40"/>
      </w:pPr>
      <w:r>
        <w:t>Document repository: Object storage (IBM Cloud Object Storage)</w:t>
      </w:r>
    </w:p>
    <w:p w14:paraId="3D132276" w14:textId="77777777" w:rsidR="001A060C" w:rsidRDefault="00000000">
      <w:pPr>
        <w:pStyle w:val="ListBullet"/>
        <w:spacing w:after="40"/>
      </w:pPr>
      <w:r>
        <w:t>Structured data store: Relational database (IBM Db2 / PostgreSQL) for normalized inputs/outputs and run metadata</w:t>
      </w:r>
    </w:p>
    <w:p w14:paraId="221DD17A" w14:textId="77777777" w:rsidR="001A060C" w:rsidRDefault="00000000">
      <w:pPr>
        <w:pStyle w:val="ListBullet"/>
        <w:spacing w:after="40"/>
      </w:pPr>
      <w:r>
        <w:t>Vector index/search: Vector database / vector search (IBM Watson Discovery vector index)</w:t>
      </w:r>
    </w:p>
    <w:p w14:paraId="6CF9E92B" w14:textId="77777777" w:rsidR="001A060C" w:rsidRDefault="00000000">
      <w:pPr>
        <w:pStyle w:val="Heading1"/>
      </w:pPr>
      <w:r>
        <w:t>5. Data Flow</w:t>
      </w:r>
    </w:p>
    <w:p w14:paraId="4A730B22" w14:textId="77777777" w:rsidR="001A060C" w:rsidRDefault="00000000">
      <w:pPr>
        <w:pStyle w:val="ListNumber"/>
        <w:spacing w:after="40"/>
      </w:pPr>
      <w:r>
        <w:t>Upload facility artifacts and optional vendor specs. Document ingestion (IBM Watson Discovery).</w:t>
      </w:r>
    </w:p>
    <w:p w14:paraId="3A7F0293" w14:textId="77777777" w:rsidR="001A060C" w:rsidRDefault="00000000">
      <w:pPr>
        <w:pStyle w:val="ListNumber"/>
        <w:spacing w:after="40"/>
      </w:pPr>
      <w:r>
        <w:t>Parse and extract structured entities and values (equipment, ratings, settings). Document parsing (IBM Watson Discovery + watsonx.ai).</w:t>
      </w:r>
    </w:p>
    <w:p w14:paraId="35929878" w14:textId="77777777" w:rsidR="001A060C" w:rsidRDefault="00000000">
      <w:pPr>
        <w:pStyle w:val="ListNumber"/>
        <w:spacing w:after="40"/>
      </w:pPr>
      <w:r>
        <w:t>Retrieve supporting passages from indexed corpora. RAG (IBM Watson Discovery + watsonx.ai).</w:t>
      </w:r>
    </w:p>
    <w:p w14:paraId="53F00FFB" w14:textId="77777777" w:rsidR="001A060C" w:rsidRDefault="00000000">
      <w:pPr>
        <w:pStyle w:val="ListNumber"/>
        <w:spacing w:after="40"/>
      </w:pPr>
      <w:r>
        <w:t>Apply translation rules + model reasoning to create output parameters and scenarios; compute confidence tags.</w:t>
      </w:r>
    </w:p>
    <w:p w14:paraId="3BA1E899" w14:textId="77777777" w:rsidR="001A060C" w:rsidRDefault="00000000">
      <w:pPr>
        <w:pStyle w:val="ListNumber"/>
        <w:spacing w:after="40"/>
      </w:pPr>
      <w:r>
        <w:t>Validate outputs against schema; package and export; store run with provenance and version metadata.</w:t>
      </w:r>
    </w:p>
    <w:p w14:paraId="4D651C4F" w14:textId="77777777" w:rsidR="001A060C" w:rsidRDefault="00000000">
      <w:pPr>
        <w:pStyle w:val="Heading1"/>
      </w:pPr>
      <w:r>
        <w:t>6. Security Architecture</w:t>
      </w:r>
    </w:p>
    <w:p w14:paraId="3AFBDDAA" w14:textId="77777777" w:rsidR="001A060C" w:rsidRDefault="00000000">
      <w:pPr>
        <w:pStyle w:val="ListBullet"/>
        <w:spacing w:after="40"/>
      </w:pPr>
      <w:r>
        <w:t>Authentication/authorization: Identity and access management (IBM Cloud IAM) with project-based access scopes.</w:t>
      </w:r>
    </w:p>
    <w:p w14:paraId="6B7389DD" w14:textId="77777777" w:rsidR="001A060C" w:rsidRDefault="00000000">
      <w:pPr>
        <w:pStyle w:val="ListBullet"/>
        <w:spacing w:after="40"/>
      </w:pPr>
      <w:r>
        <w:t>Encryption: Key management (IBM Key Protect) for encryption keys; TLS for in-transit protection.</w:t>
      </w:r>
    </w:p>
    <w:p w14:paraId="4A7CCB96" w14:textId="77777777" w:rsidR="001A060C" w:rsidRDefault="00000000">
      <w:pPr>
        <w:pStyle w:val="ListBullet"/>
        <w:spacing w:after="40"/>
      </w:pPr>
      <w:r>
        <w:t>Secrets: Secrets management (IBM Secrets Manager) for API credentials and service keys.</w:t>
      </w:r>
    </w:p>
    <w:p w14:paraId="309B0D57" w14:textId="77777777" w:rsidR="001A060C" w:rsidRDefault="00000000">
      <w:pPr>
        <w:pStyle w:val="ListBullet"/>
        <w:spacing w:after="40"/>
      </w:pPr>
      <w:r>
        <w:t>Audit logging: Observability / monitoring (IBM Instana / IBM Log Analysis).</w:t>
      </w:r>
    </w:p>
    <w:p w14:paraId="475B7FE6" w14:textId="77777777" w:rsidR="001A060C" w:rsidRDefault="00000000">
      <w:pPr>
        <w:pStyle w:val="Heading1"/>
      </w:pPr>
      <w:r>
        <w:lastRenderedPageBreak/>
        <w:t>7. Deployment Topology</w:t>
      </w:r>
    </w:p>
    <w:p w14:paraId="1C46645D" w14:textId="77777777" w:rsidR="001A060C" w:rsidRDefault="00000000">
      <w:pPr>
        <w:spacing w:after="120"/>
      </w:pPr>
      <w:r>
        <w:t>Recommended: containerized microservices deployed on Deployment (Red Hat OpenShift) with separate environments (dev/test/prod). Watson services may be consumed as managed IBM Cloud services.</w:t>
      </w:r>
    </w:p>
    <w:p w14:paraId="5384F40A" w14:textId="77777777" w:rsidR="001A060C" w:rsidRDefault="00000000">
      <w:pPr>
        <w:pStyle w:val="Heading1"/>
      </w:pPr>
      <w:r>
        <w:t>8. Interfaces</w:t>
      </w:r>
    </w:p>
    <w:p w14:paraId="2E92FC93" w14:textId="77777777" w:rsidR="001A060C" w:rsidRDefault="00000000">
      <w:pPr>
        <w:pStyle w:val="ListBullet"/>
        <w:spacing w:after="40"/>
      </w:pPr>
      <w:r>
        <w:t>Web UI for upload, run management, and report download.</w:t>
      </w:r>
    </w:p>
    <w:p w14:paraId="57F05E2E" w14:textId="77777777" w:rsidR="001A060C" w:rsidRDefault="00000000">
      <w:pPr>
        <w:pStyle w:val="ListBullet"/>
        <w:spacing w:after="40"/>
      </w:pPr>
      <w:r>
        <w:t>REST API endpoints for ingestion, run execution, and export retrieval (API management (IBM API Connect)).</w:t>
      </w:r>
    </w:p>
    <w:p w14:paraId="3B59EF31" w14:textId="77777777" w:rsidR="001A060C" w:rsidRDefault="00000000">
      <w:pPr>
        <w:pStyle w:val="ListBullet"/>
        <w:spacing w:after="40"/>
      </w:pPr>
      <w:r>
        <w:t>Administrative interfaces for corpus management, retention policies, and access control.</w:t>
      </w:r>
    </w:p>
    <w:p w14:paraId="0439F489" w14:textId="77777777" w:rsidR="001A060C" w:rsidRDefault="00000000">
      <w:pPr>
        <w:pStyle w:val="Heading1"/>
      </w:pPr>
      <w:r>
        <w:t>9. Key Risks and Mitigations</w:t>
      </w:r>
    </w:p>
    <w:p w14:paraId="3E66D50E" w14:textId="77777777" w:rsidR="001A060C" w:rsidRDefault="00000000">
      <w:pPr>
        <w:pStyle w:val="ListBullet"/>
        <w:spacing w:after="40"/>
      </w:pPr>
      <w:r>
        <w:t>Incomplete inputs early in project lifecycle → produce missing-data questions and scenario bounds.</w:t>
      </w:r>
    </w:p>
    <w:p w14:paraId="0A085727" w14:textId="77777777" w:rsidR="001A060C" w:rsidRDefault="00000000">
      <w:pPr>
        <w:pStyle w:val="ListBullet"/>
        <w:spacing w:after="40"/>
      </w:pPr>
      <w:r>
        <w:t>Vendor specs vary in structure → use Discovery enrichment + schema-normalization rules.</w:t>
      </w:r>
    </w:p>
    <w:p w14:paraId="7D041735" w14:textId="77777777" w:rsidR="001A060C" w:rsidRDefault="00000000">
      <w:pPr>
        <w:pStyle w:val="ListBullet"/>
        <w:spacing w:after="40"/>
      </w:pPr>
      <w:r>
        <w:t>Hallucinated parameters → enforce evidence/provenance requirement and confidence tags.</w:t>
      </w:r>
    </w:p>
    <w:sectPr w:rsidR="001A06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413707">
    <w:abstractNumId w:val="8"/>
  </w:num>
  <w:num w:numId="2" w16cid:durableId="1910725155">
    <w:abstractNumId w:val="6"/>
  </w:num>
  <w:num w:numId="3" w16cid:durableId="246548397">
    <w:abstractNumId w:val="5"/>
  </w:num>
  <w:num w:numId="4" w16cid:durableId="1572810841">
    <w:abstractNumId w:val="4"/>
  </w:num>
  <w:num w:numId="5" w16cid:durableId="1008797774">
    <w:abstractNumId w:val="7"/>
  </w:num>
  <w:num w:numId="6" w16cid:durableId="921765285">
    <w:abstractNumId w:val="3"/>
  </w:num>
  <w:num w:numId="7" w16cid:durableId="1719013289">
    <w:abstractNumId w:val="2"/>
  </w:num>
  <w:num w:numId="8" w16cid:durableId="1812480335">
    <w:abstractNumId w:val="1"/>
  </w:num>
  <w:num w:numId="9" w16cid:durableId="195166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60C"/>
    <w:rsid w:val="002539B8"/>
    <w:rsid w:val="0029639D"/>
    <w:rsid w:val="00326F90"/>
    <w:rsid w:val="00365CBC"/>
    <w:rsid w:val="00AA1D8D"/>
    <w:rsid w:val="00B47730"/>
    <w:rsid w:val="00C76D1E"/>
    <w:rsid w:val="00CB0664"/>
    <w:rsid w:val="00D44F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6F065"/>
  <w14:defaultImageDpi w14:val="300"/>
  <w15:docId w15:val="{818C4C53-31A0-4D96-B4D2-84D92A35B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Thad M</cp:lastModifiedBy>
  <cp:revision>3</cp:revision>
  <dcterms:created xsi:type="dcterms:W3CDTF">2013-12-23T23:15:00Z</dcterms:created>
  <dcterms:modified xsi:type="dcterms:W3CDTF">2026-03-05T16:35:00Z</dcterms:modified>
  <cp:category/>
</cp:coreProperties>
</file>