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C257" w14:textId="44C7A4D5" w:rsidR="00871162" w:rsidRDefault="00A7145A">
      <w:pPr>
        <w:pStyle w:val="Title"/>
      </w:pPr>
      <w:proofErr w:type="spellStart"/>
      <w:r>
        <w:t>GridSenpAI</w:t>
      </w:r>
      <w:proofErr w:type="spellEnd"/>
      <w:r w:rsidR="00000000">
        <w:t xml:space="preserve"> Data Schema Documentation </w:t>
      </w:r>
    </w:p>
    <w:p w14:paraId="74D74624" w14:textId="77777777" w:rsidR="00871162" w:rsidRDefault="00000000">
      <w:pPr>
        <w:pStyle w:val="Heading1"/>
      </w:pPr>
      <w:r>
        <w:t>1. Purpose</w:t>
      </w:r>
    </w:p>
    <w:p w14:paraId="01AAB84F" w14:textId="627B7338" w:rsidR="00871162" w:rsidRDefault="00000000">
      <w:pPr>
        <w:spacing w:after="120"/>
      </w:pPr>
      <w:r>
        <w:t xml:space="preserve">Define the structured data schemas used by </w:t>
      </w:r>
      <w:proofErr w:type="spellStart"/>
      <w:r w:rsidR="00A7145A">
        <w:t>GridSenpAI</w:t>
      </w:r>
      <w:proofErr w:type="spellEnd"/>
      <w:r>
        <w:t xml:space="preserve"> for ingesting facility engineering data and producing transmission-planning-ready model outputs. This document references where IBM Watson products are used for ingestion, parsing, and retrieval.</w:t>
      </w:r>
    </w:p>
    <w:p w14:paraId="0D6D7177" w14:textId="77777777" w:rsidR="00871162" w:rsidRDefault="00000000">
      <w:pPr>
        <w:pStyle w:val="Heading1"/>
      </w:pPr>
      <w:r>
        <w:t>2. Input Data Schema (Facility Inputs)</w:t>
      </w:r>
    </w:p>
    <w:p w14:paraId="3AA68FA4" w14:textId="77777777" w:rsidR="00871162" w:rsidRDefault="00000000">
      <w:pPr>
        <w:spacing w:after="120"/>
      </w:pPr>
      <w:r>
        <w:t>Input data may be supplied via structured forms, API calls, or extracted from documents. Document ingestion (IBM Watson Discovery) and parsing (IBM Watson Discovery + watsonx.ai) populate the schema.</w:t>
      </w:r>
    </w:p>
    <w:p w14:paraId="22E153E8" w14:textId="77777777" w:rsidR="00871162" w:rsidRDefault="00000000">
      <w:pPr>
        <w:pStyle w:val="Heading2"/>
      </w:pPr>
      <w:r>
        <w:t>2.1 Core Inputs</w:t>
      </w:r>
    </w:p>
    <w:p w14:paraId="395CB024" w14:textId="77777777" w:rsidR="00871162" w:rsidRDefault="00000000">
      <w:pPr>
        <w:pStyle w:val="ListBullet"/>
        <w:spacing w:after="40"/>
      </w:pPr>
      <w:r>
        <w:t>facility_info: POI voltage (kV), service configuration, phased buildout schedule (MW by date/phase)</w:t>
      </w:r>
    </w:p>
    <w:p w14:paraId="33DE2C25" w14:textId="77777777" w:rsidR="00871162" w:rsidRDefault="00000000">
      <w:pPr>
        <w:pStyle w:val="ListBullet"/>
        <w:spacing w:after="40"/>
      </w:pPr>
      <w:r>
        <w:t>one_line_diagram: file reference(s) for MV/LV one-lines and substation diagrams</w:t>
      </w:r>
    </w:p>
    <w:p w14:paraId="6D5063D3" w14:textId="77777777" w:rsidR="00871162" w:rsidRDefault="00000000">
      <w:pPr>
        <w:pStyle w:val="ListBullet"/>
        <w:spacing w:after="40"/>
      </w:pPr>
      <w:r>
        <w:t>load_composition: IT MW, cooling MW, other MW; notes on power capping/demand management</w:t>
      </w:r>
    </w:p>
    <w:p w14:paraId="4012946E" w14:textId="77777777" w:rsidR="00871162" w:rsidRDefault="00000000">
      <w:pPr>
        <w:pStyle w:val="ListBullet"/>
        <w:spacing w:after="40"/>
      </w:pPr>
      <w:r>
        <w:t>ups_systems: vendor, model, topology, operating mode, rated kW, module count, redundancy</w:t>
      </w:r>
    </w:p>
    <w:p w14:paraId="23D526B1" w14:textId="77777777" w:rsidR="00871162" w:rsidRDefault="00000000">
      <w:pPr>
        <w:pStyle w:val="ListBullet"/>
        <w:spacing w:after="40"/>
      </w:pPr>
      <w:r>
        <w:t>generators: vendor, model, rated kW, quantity, islanding/export capability, transfer mode</w:t>
      </w:r>
    </w:p>
    <w:p w14:paraId="433A08E7" w14:textId="77777777" w:rsidR="00871162" w:rsidRDefault="00000000">
      <w:pPr>
        <w:pStyle w:val="ListBullet"/>
        <w:spacing w:after="40"/>
      </w:pPr>
      <w:r>
        <w:t>transformers: MVA rating, percent impedance, primary/secondary voltages, tap range if known</w:t>
      </w:r>
    </w:p>
    <w:p w14:paraId="24744D07" w14:textId="77777777" w:rsidR="00871162" w:rsidRDefault="00000000">
      <w:pPr>
        <w:pStyle w:val="ListBullet"/>
        <w:spacing w:after="40"/>
      </w:pPr>
      <w:r>
        <w:t>protection_settings: UV/UF/OV/OF curves; relay model and settings summary if available</w:t>
      </w:r>
    </w:p>
    <w:p w14:paraId="1CBBC77B" w14:textId="77777777" w:rsidR="00871162" w:rsidRDefault="00000000">
      <w:pPr>
        <w:pStyle w:val="ListBullet"/>
        <w:spacing w:after="40"/>
      </w:pPr>
      <w:r>
        <w:t>harmonics: expected THDi/THD, filters present, major power-electronics sources</w:t>
      </w:r>
    </w:p>
    <w:p w14:paraId="6AE08D87" w14:textId="77777777" w:rsidR="00871162" w:rsidRDefault="00000000">
      <w:pPr>
        <w:pStyle w:val="Heading2"/>
      </w:pPr>
      <w:r>
        <w:t>2.2 Units, Ranges, and Validation Rules</w:t>
      </w:r>
    </w:p>
    <w:p w14:paraId="43A257B3" w14:textId="77777777" w:rsidR="00871162" w:rsidRDefault="00000000">
      <w:pPr>
        <w:pStyle w:val="ListBullet"/>
        <w:spacing w:after="40"/>
      </w:pPr>
      <w:r>
        <w:t>All power values must declare units (MW, Mvar, kVA/kW) and be normalized to MW/Mvar for outputs.</w:t>
      </w:r>
    </w:p>
    <w:p w14:paraId="460B37FB" w14:textId="77777777" w:rsidR="00871162" w:rsidRDefault="00000000">
      <w:pPr>
        <w:pStyle w:val="ListBullet"/>
        <w:spacing w:after="40"/>
      </w:pPr>
      <w:r>
        <w:t>Voltage values must be normalized to kV.</w:t>
      </w:r>
    </w:p>
    <w:p w14:paraId="376F7CBD" w14:textId="77777777" w:rsidR="00871162" w:rsidRDefault="00000000">
      <w:pPr>
        <w:pStyle w:val="ListBullet"/>
        <w:spacing w:after="40"/>
      </w:pPr>
      <w:r>
        <w:t>Curves must be represented as time-value pairs (e.g., [(Vpu, seconds), ...]).</w:t>
      </w:r>
    </w:p>
    <w:p w14:paraId="4B112F5C" w14:textId="77777777" w:rsidR="00871162" w:rsidRDefault="00000000">
      <w:pPr>
        <w:pStyle w:val="ListBullet"/>
        <w:spacing w:after="40"/>
      </w:pPr>
      <w:r>
        <w:t>Unknown values must be null/omitted—not fabricated; missing critical items must trigger follow-up questions.</w:t>
      </w:r>
    </w:p>
    <w:p w14:paraId="6D52A7F2" w14:textId="77777777" w:rsidR="00871162" w:rsidRDefault="00000000">
      <w:pPr>
        <w:pStyle w:val="Heading1"/>
      </w:pPr>
      <w:r>
        <w:lastRenderedPageBreak/>
        <w:t>3. Output Data Schema (TP Outputs)</w:t>
      </w:r>
    </w:p>
    <w:p w14:paraId="1701F2B7" w14:textId="77777777" w:rsidR="00871162" w:rsidRDefault="00000000">
      <w:pPr>
        <w:spacing w:after="120"/>
      </w:pPr>
      <w:r>
        <w:t>Outputs are produced by the Translation Engine (watsonx.ai + rules) and packaged for planners. Outputs must conform to the outputs schema and include provenance and confidence tags.</w:t>
      </w:r>
    </w:p>
    <w:p w14:paraId="40C91D70" w14:textId="77777777" w:rsidR="00871162" w:rsidRDefault="00000000">
      <w:pPr>
        <w:pStyle w:val="Heading2"/>
      </w:pPr>
      <w:r>
        <w:t>3.1 Output Categories</w:t>
      </w:r>
    </w:p>
    <w:p w14:paraId="7E7B2C0C" w14:textId="77777777" w:rsidR="00871162" w:rsidRDefault="00000000">
      <w:pPr>
        <w:pStyle w:val="ListBullet"/>
        <w:spacing w:after="40"/>
      </w:pPr>
      <w:r>
        <w:t>steady_state: Pmax/Pmin, Q limits, PF target or control mode</w:t>
      </w:r>
    </w:p>
    <w:p w14:paraId="5655CACF" w14:textId="77777777" w:rsidR="00871162" w:rsidRDefault="00000000">
      <w:pPr>
        <w:pStyle w:val="ListBullet"/>
        <w:spacing w:after="40"/>
      </w:pPr>
      <w:r>
        <w:t>zip_model: aP/bP/cP and aQ/bQ/cQ (constant power/current/impedance fractions)</w:t>
      </w:r>
    </w:p>
    <w:p w14:paraId="34524A2E" w14:textId="77777777" w:rsidR="00871162" w:rsidRDefault="00000000">
      <w:pPr>
        <w:pStyle w:val="ListBullet"/>
        <w:spacing w:after="40"/>
      </w:pPr>
      <w:r>
        <w:t>dynamic_parameters: voltage/frequency sensitivity, recovery constants, trip curves, reconnect logic</w:t>
      </w:r>
    </w:p>
    <w:p w14:paraId="53F49E87" w14:textId="77777777" w:rsidR="00871162" w:rsidRDefault="00000000">
      <w:pPr>
        <w:pStyle w:val="ListBullet"/>
        <w:spacing w:after="40"/>
      </w:pPr>
      <w:r>
        <w:t>load_composition: electronic/motor/VFD/static fractions</w:t>
      </w:r>
    </w:p>
    <w:p w14:paraId="6A727662" w14:textId="77777777" w:rsidR="00871162" w:rsidRDefault="00000000">
      <w:pPr>
        <w:pStyle w:val="ListBullet"/>
        <w:spacing w:after="40"/>
      </w:pPr>
      <w:r>
        <w:t>ramping: max ramp up/down, step sizes, restoration pickup profiles (if known)</w:t>
      </w:r>
    </w:p>
    <w:p w14:paraId="44348988" w14:textId="77777777" w:rsidR="00871162" w:rsidRDefault="00000000">
      <w:pPr>
        <w:pStyle w:val="ListBullet"/>
        <w:spacing w:after="40"/>
      </w:pPr>
      <w:r>
        <w:t>generator_interactions: islanding/export/closed transition flags and constraints</w:t>
      </w:r>
    </w:p>
    <w:p w14:paraId="2E8D10E1" w14:textId="77777777" w:rsidR="00871162" w:rsidRDefault="00000000">
      <w:pPr>
        <w:pStyle w:val="ListBullet"/>
        <w:spacing w:after="40"/>
      </w:pPr>
      <w:r>
        <w:t>power_quality: harmonic risk screen and study recommendation</w:t>
      </w:r>
    </w:p>
    <w:p w14:paraId="74CD65D8" w14:textId="77777777" w:rsidR="00871162" w:rsidRDefault="00000000">
      <w:pPr>
        <w:pStyle w:val="ListBullet"/>
        <w:spacing w:after="40"/>
      </w:pPr>
      <w:r>
        <w:t>confidence_tags + provenance: evidence references and assumption list</w:t>
      </w:r>
    </w:p>
    <w:p w14:paraId="06C91512" w14:textId="77777777" w:rsidR="00871162" w:rsidRDefault="00000000">
      <w:pPr>
        <w:pStyle w:val="Heading1"/>
      </w:pPr>
      <w:r>
        <w:t>4. Provenance and Confidence</w:t>
      </w:r>
    </w:p>
    <w:p w14:paraId="6B3A01EB" w14:textId="77777777" w:rsidR="00871162" w:rsidRDefault="00000000">
      <w:pPr>
        <w:pStyle w:val="ListBullet"/>
        <w:spacing w:after="40"/>
      </w:pPr>
      <w:r>
        <w:t>Every output parameter must include provenance: source doc + passage ID (from Watson Discovery) or a rule reference.</w:t>
      </w:r>
    </w:p>
    <w:p w14:paraId="2B687EEC" w14:textId="77777777" w:rsidR="00871162" w:rsidRDefault="00000000">
      <w:pPr>
        <w:pStyle w:val="ListBullet"/>
        <w:spacing w:after="40"/>
      </w:pPr>
      <w:r>
        <w:t>Confidence levels: High (direct spec/settings), Medium (equipment-class inference), Low (assumption pending confirmation).</w:t>
      </w:r>
    </w:p>
    <w:p w14:paraId="62D9E299" w14:textId="77777777" w:rsidR="00871162" w:rsidRDefault="00000000">
      <w:pPr>
        <w:pStyle w:val="ListBullet"/>
        <w:spacing w:after="40"/>
      </w:pPr>
      <w:r>
        <w:t>Scenario sets: Typical, Conservative, Best-case must be generated when key dynamics are uncertain.</w:t>
      </w:r>
    </w:p>
    <w:p w14:paraId="5BD6F0A1" w14:textId="77777777" w:rsidR="00871162" w:rsidRDefault="00000000">
      <w:pPr>
        <w:pStyle w:val="Heading1"/>
      </w:pPr>
      <w:r>
        <w:t>5. Watson-Specific Data Integration Notes</w:t>
      </w:r>
    </w:p>
    <w:p w14:paraId="5FDA43A7" w14:textId="77777777" w:rsidR="00871162" w:rsidRDefault="00000000">
      <w:pPr>
        <w:pStyle w:val="ListBullet"/>
        <w:spacing w:after="40"/>
      </w:pPr>
      <w:r>
        <w:t>Watson Discovery project collections should be segmented by customer/project to enforce isolation.</w:t>
      </w:r>
    </w:p>
    <w:p w14:paraId="53623E79" w14:textId="77777777" w:rsidR="00871162" w:rsidRDefault="00000000">
      <w:pPr>
        <w:pStyle w:val="ListBullet"/>
        <w:spacing w:after="40"/>
      </w:pPr>
      <w:r>
        <w:t>Discovery enrichments should extract entities like equipment names, ratings, and settings into structured fields.</w:t>
      </w:r>
    </w:p>
    <w:p w14:paraId="7B039BDE" w14:textId="77777777" w:rsidR="00871162" w:rsidRDefault="00000000">
      <w:pPr>
        <w:pStyle w:val="ListBullet"/>
        <w:spacing w:after="40"/>
      </w:pPr>
      <w:r>
        <w:t>watsonx.ai prompts should output strictly-valid JSON conforming to the schema with explicit nulls for unknowns.</w:t>
      </w:r>
    </w:p>
    <w:sectPr w:rsidR="008711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340842">
    <w:abstractNumId w:val="8"/>
  </w:num>
  <w:num w:numId="2" w16cid:durableId="1210143500">
    <w:abstractNumId w:val="6"/>
  </w:num>
  <w:num w:numId="3" w16cid:durableId="1986230785">
    <w:abstractNumId w:val="5"/>
  </w:num>
  <w:num w:numId="4" w16cid:durableId="271059643">
    <w:abstractNumId w:val="4"/>
  </w:num>
  <w:num w:numId="5" w16cid:durableId="1801728445">
    <w:abstractNumId w:val="7"/>
  </w:num>
  <w:num w:numId="6" w16cid:durableId="1739865605">
    <w:abstractNumId w:val="3"/>
  </w:num>
  <w:num w:numId="7" w16cid:durableId="1370838379">
    <w:abstractNumId w:val="2"/>
  </w:num>
  <w:num w:numId="8" w16cid:durableId="20597523">
    <w:abstractNumId w:val="1"/>
  </w:num>
  <w:num w:numId="9" w16cid:durableId="183864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3ED"/>
    <w:rsid w:val="0029639D"/>
    <w:rsid w:val="00326F90"/>
    <w:rsid w:val="00365CBC"/>
    <w:rsid w:val="00871162"/>
    <w:rsid w:val="00A31B00"/>
    <w:rsid w:val="00A714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1BF270"/>
  <w14:defaultImageDpi w14:val="300"/>
  <w15:docId w15:val="{6B884648-429E-41A9-9471-7908F4A6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Thad M</cp:lastModifiedBy>
  <cp:revision>3</cp:revision>
  <dcterms:created xsi:type="dcterms:W3CDTF">2013-12-23T23:15:00Z</dcterms:created>
  <dcterms:modified xsi:type="dcterms:W3CDTF">2026-03-05T16:33:00Z</dcterms:modified>
  <cp:category/>
</cp:coreProperties>
</file>