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2F56" w14:textId="2E2E9A3C" w:rsidR="00B15AB3" w:rsidRDefault="00CA3E27">
      <w:pPr>
        <w:pStyle w:val="Title"/>
      </w:pPr>
      <w:proofErr w:type="spellStart"/>
      <w:r>
        <w:t>GridSenpAI</w:t>
      </w:r>
      <w:proofErr w:type="spellEnd"/>
      <w:r w:rsidR="00000000">
        <w:t xml:space="preserve"> Parameter Mapping Table (Facility Inputs → TP Outputs) </w:t>
      </w:r>
    </w:p>
    <w:p w14:paraId="6C64DF37" w14:textId="3D9E028A" w:rsidR="00B15AB3" w:rsidRDefault="00000000">
      <w:pPr>
        <w:spacing w:after="120"/>
      </w:pPr>
      <w:r>
        <w:t xml:space="preserve">This table is the core translation reference used by </w:t>
      </w:r>
      <w:proofErr w:type="spellStart"/>
      <w:r w:rsidR="00CA3E27">
        <w:t>GridSenpAI</w:t>
      </w:r>
      <w:proofErr w:type="spellEnd"/>
      <w:r>
        <w:t>. It defines what facility-side inputs are needed, where supporting evidence is retrieved (RAG (IBM Watson Discovery + watsonx.ai)), how the translation is performed, and which TP-ready output parameters are produced. Confidence is expected to vary by evidence availability; missing inputs trigger follow-up questions.</w:t>
      </w:r>
    </w:p>
    <w:p w14:paraId="74D42D2D" w14:textId="77777777" w:rsidR="00B15AB3" w:rsidRDefault="00000000">
      <w:pPr>
        <w:pStyle w:val="Heading1"/>
      </w:pPr>
      <w:r>
        <w:t>1. Mapping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6"/>
        <w:gridCol w:w="1167"/>
        <w:gridCol w:w="1588"/>
        <w:gridCol w:w="3721"/>
        <w:gridCol w:w="1164"/>
      </w:tblGrid>
      <w:tr w:rsidR="00B15AB3" w14:paraId="02EDE3D7" w14:textId="77777777">
        <w:tc>
          <w:tcPr>
            <w:tcW w:w="1728" w:type="dxa"/>
          </w:tcPr>
          <w:p w14:paraId="0AD5FC48" w14:textId="77777777" w:rsidR="00B15AB3" w:rsidRDefault="00000000">
            <w:r>
              <w:t>Facility Input (What DC EE Provides)</w:t>
            </w:r>
          </w:p>
        </w:tc>
        <w:tc>
          <w:tcPr>
            <w:tcW w:w="1728" w:type="dxa"/>
          </w:tcPr>
          <w:p w14:paraId="4E3BFD0B" w14:textId="77777777" w:rsidR="00B15AB3" w:rsidRDefault="00000000">
            <w:r>
              <w:t>RAG Evidence Sources (Watson)</w:t>
            </w:r>
          </w:p>
        </w:tc>
        <w:tc>
          <w:tcPr>
            <w:tcW w:w="1728" w:type="dxa"/>
          </w:tcPr>
          <w:p w14:paraId="6E67733F" w14:textId="77777777" w:rsidR="00B15AB3" w:rsidRDefault="00000000">
            <w:r>
              <w:t>Translation Logic (Rules / Inference)</w:t>
            </w:r>
          </w:p>
        </w:tc>
        <w:tc>
          <w:tcPr>
            <w:tcW w:w="1728" w:type="dxa"/>
          </w:tcPr>
          <w:p w14:paraId="11BD3971" w14:textId="77777777" w:rsidR="00B15AB3" w:rsidRDefault="00000000">
            <w:r>
              <w:t>TP Output Parameter(s)</w:t>
            </w:r>
          </w:p>
        </w:tc>
        <w:tc>
          <w:tcPr>
            <w:tcW w:w="1728" w:type="dxa"/>
          </w:tcPr>
          <w:p w14:paraId="235159C7" w14:textId="77777777" w:rsidR="00B15AB3" w:rsidRDefault="00000000">
            <w:r>
              <w:t>Confidence Drivers / Notes</w:t>
            </w:r>
          </w:p>
        </w:tc>
      </w:tr>
      <w:tr w:rsidR="00B15AB3" w14:paraId="6E0C3083" w14:textId="77777777">
        <w:tc>
          <w:tcPr>
            <w:tcW w:w="1728" w:type="dxa"/>
          </w:tcPr>
          <w:p w14:paraId="7B4A5996" w14:textId="77777777" w:rsidR="00B15AB3" w:rsidRDefault="00000000">
            <w:r>
              <w:t>POI voltage level(s), service configuration</w:t>
            </w:r>
          </w:p>
        </w:tc>
        <w:tc>
          <w:tcPr>
            <w:tcW w:w="1728" w:type="dxa"/>
          </w:tcPr>
          <w:p w14:paraId="6E5BCF52" w14:textId="77777777" w:rsidR="00B15AB3" w:rsidRDefault="00000000">
            <w:r>
              <w:t>Interconnection request docs; utility service standards; substation docs (Watson Discovery)</w:t>
            </w:r>
          </w:p>
        </w:tc>
        <w:tc>
          <w:tcPr>
            <w:tcW w:w="1728" w:type="dxa"/>
          </w:tcPr>
          <w:p w14:paraId="532D690F" w14:textId="77777777" w:rsidR="00B15AB3" w:rsidRDefault="00000000">
            <w:r>
              <w:t>Normalize kV levels; validate consistent with one-line; assign POI bus representation</w:t>
            </w:r>
          </w:p>
        </w:tc>
        <w:tc>
          <w:tcPr>
            <w:tcW w:w="1728" w:type="dxa"/>
          </w:tcPr>
          <w:p w14:paraId="1024506D" w14:textId="77777777" w:rsidR="00B15AB3" w:rsidRDefault="00000000">
            <w:r>
              <w:t>steady_state.Pmax/Pmin context; metadata for bus modeling</w:t>
            </w:r>
          </w:p>
        </w:tc>
        <w:tc>
          <w:tcPr>
            <w:tcW w:w="1728" w:type="dxa"/>
          </w:tcPr>
          <w:p w14:paraId="5C2E0F42" w14:textId="77777777" w:rsidR="00B15AB3" w:rsidRDefault="00000000">
            <w:r>
              <w:t>High if explicit in interconnection docs; Medium if inferred from one-line only</w:t>
            </w:r>
          </w:p>
        </w:tc>
      </w:tr>
      <w:tr w:rsidR="00B15AB3" w14:paraId="5C342AA5" w14:textId="77777777">
        <w:tc>
          <w:tcPr>
            <w:tcW w:w="1728" w:type="dxa"/>
          </w:tcPr>
          <w:p w14:paraId="64AE141D" w14:textId="77777777" w:rsidR="00B15AB3" w:rsidRDefault="00000000">
            <w:r>
              <w:t>Phased buildout schedule (MW by date/phase)</w:t>
            </w:r>
          </w:p>
        </w:tc>
        <w:tc>
          <w:tcPr>
            <w:tcW w:w="1728" w:type="dxa"/>
          </w:tcPr>
          <w:p w14:paraId="05468690" w14:textId="77777777" w:rsidR="00B15AB3" w:rsidRDefault="00000000">
            <w:r>
              <w:t>Project schedule docs; load letter of intent; planning forms (Watson Discovery)</w:t>
            </w:r>
          </w:p>
        </w:tc>
        <w:tc>
          <w:tcPr>
            <w:tcW w:w="1728" w:type="dxa"/>
          </w:tcPr>
          <w:p w14:paraId="7DA4F69C" w14:textId="77777777" w:rsidR="00B15AB3" w:rsidRDefault="00000000">
            <w:r>
              <w:t>Generate per-phase Pmax/Pmin envelopes and scenario timelines</w:t>
            </w:r>
          </w:p>
        </w:tc>
        <w:tc>
          <w:tcPr>
            <w:tcW w:w="1728" w:type="dxa"/>
          </w:tcPr>
          <w:p w14:paraId="3C95B6A2" w14:textId="77777777" w:rsidR="00B15AB3" w:rsidRDefault="00000000">
            <w:r>
              <w:t>steady_state.Pmax/Pmin per phase; ramping profiles by phase</w:t>
            </w:r>
          </w:p>
        </w:tc>
        <w:tc>
          <w:tcPr>
            <w:tcW w:w="1728" w:type="dxa"/>
          </w:tcPr>
          <w:p w14:paraId="568C3759" w14:textId="77777777" w:rsidR="00B15AB3" w:rsidRDefault="00000000">
            <w:r>
              <w:t>High if formal schedule exists; Low if only verbal estimates</w:t>
            </w:r>
          </w:p>
        </w:tc>
      </w:tr>
      <w:tr w:rsidR="00B15AB3" w14:paraId="3049BE76" w14:textId="77777777">
        <w:tc>
          <w:tcPr>
            <w:tcW w:w="1728" w:type="dxa"/>
          </w:tcPr>
          <w:p w14:paraId="5854E98F" w14:textId="77777777" w:rsidR="00B15AB3" w:rsidRDefault="00000000">
            <w:r>
              <w:t xml:space="preserve">One-line </w:t>
            </w:r>
            <w:r>
              <w:lastRenderedPageBreak/>
              <w:t>diagram (MV/LV) and equipment schedule</w:t>
            </w:r>
          </w:p>
        </w:tc>
        <w:tc>
          <w:tcPr>
            <w:tcW w:w="1728" w:type="dxa"/>
          </w:tcPr>
          <w:p w14:paraId="4C910930" w14:textId="77777777" w:rsidR="00B15AB3" w:rsidRDefault="00000000">
            <w:r>
              <w:lastRenderedPageBreak/>
              <w:t xml:space="preserve">One-line </w:t>
            </w:r>
            <w:r>
              <w:lastRenderedPageBreak/>
              <w:t>PDFs/DWGs, equipment schedules (Watson Discovery)</w:t>
            </w:r>
          </w:p>
        </w:tc>
        <w:tc>
          <w:tcPr>
            <w:tcW w:w="1728" w:type="dxa"/>
          </w:tcPr>
          <w:p w14:paraId="731A420A" w14:textId="77777777" w:rsidR="00B15AB3" w:rsidRDefault="00000000">
            <w:r>
              <w:lastRenderedPageBreak/>
              <w:t xml:space="preserve">Extract </w:t>
            </w:r>
            <w:r>
              <w:lastRenderedPageBreak/>
              <w:t>topology cues, transformer ratings, ATS placement; identify major load blocks</w:t>
            </w:r>
          </w:p>
        </w:tc>
        <w:tc>
          <w:tcPr>
            <w:tcW w:w="1728" w:type="dxa"/>
          </w:tcPr>
          <w:p w14:paraId="51645E09" w14:textId="77777777" w:rsidR="00B15AB3" w:rsidRDefault="00000000">
            <w:r>
              <w:lastRenderedPageBreak/>
              <w:t xml:space="preserve">load_composition fractions; flags; </w:t>
            </w:r>
            <w:r>
              <w:lastRenderedPageBreak/>
              <w:t>transformer metadata</w:t>
            </w:r>
          </w:p>
        </w:tc>
        <w:tc>
          <w:tcPr>
            <w:tcW w:w="1728" w:type="dxa"/>
          </w:tcPr>
          <w:p w14:paraId="12786866" w14:textId="77777777" w:rsidR="00B15AB3" w:rsidRDefault="00000000">
            <w:r>
              <w:lastRenderedPageBreak/>
              <w:t xml:space="preserve">Medium: </w:t>
            </w:r>
            <w:r>
              <w:lastRenderedPageBreak/>
              <w:t>diagrams show topology but not dynamic behavior</w:t>
            </w:r>
          </w:p>
        </w:tc>
      </w:tr>
      <w:tr w:rsidR="00B15AB3" w14:paraId="5BCCED04" w14:textId="77777777">
        <w:tc>
          <w:tcPr>
            <w:tcW w:w="1728" w:type="dxa"/>
          </w:tcPr>
          <w:p w14:paraId="181C918E" w14:textId="77777777" w:rsidR="00B15AB3" w:rsidRDefault="00000000">
            <w:r>
              <w:lastRenderedPageBreak/>
              <w:t>IT load vs cooling load vs other load split</w:t>
            </w:r>
          </w:p>
        </w:tc>
        <w:tc>
          <w:tcPr>
            <w:tcW w:w="1728" w:type="dxa"/>
          </w:tcPr>
          <w:p w14:paraId="1B08C284" w14:textId="77777777" w:rsidR="00B15AB3" w:rsidRDefault="00000000">
            <w:r>
              <w:t>Load calcs; mechanical schedules; power budgets (Watson Discovery)</w:t>
            </w:r>
          </w:p>
        </w:tc>
        <w:tc>
          <w:tcPr>
            <w:tcW w:w="1728" w:type="dxa"/>
          </w:tcPr>
          <w:p w14:paraId="3A1AF1D5" w14:textId="77777777" w:rsidR="00B15AB3" w:rsidRDefault="00000000">
            <w:r>
              <w:t>Compute composition fractions; infer motor/VFD share from cooling design</w:t>
            </w:r>
          </w:p>
        </w:tc>
        <w:tc>
          <w:tcPr>
            <w:tcW w:w="1728" w:type="dxa"/>
          </w:tcPr>
          <w:p w14:paraId="36BC54D7" w14:textId="77777777" w:rsidR="00B15AB3" w:rsidRDefault="00000000">
            <w:r>
              <w:t>load_composition.electronic/motor/vfd/static; zip_model bounds</w:t>
            </w:r>
          </w:p>
        </w:tc>
        <w:tc>
          <w:tcPr>
            <w:tcW w:w="1728" w:type="dxa"/>
          </w:tcPr>
          <w:p w14:paraId="720F9B7D" w14:textId="77777777" w:rsidR="00B15AB3" w:rsidRDefault="00000000">
            <w:r>
              <w:t>High when load studies provided; Medium when inferred</w:t>
            </w:r>
          </w:p>
        </w:tc>
      </w:tr>
      <w:tr w:rsidR="00B15AB3" w14:paraId="72052490" w14:textId="77777777">
        <w:tc>
          <w:tcPr>
            <w:tcW w:w="1728" w:type="dxa"/>
          </w:tcPr>
          <w:p w14:paraId="5FAD8DCA" w14:textId="77777777" w:rsidR="00B15AB3" w:rsidRDefault="00000000">
            <w:r>
              <w:t>UPS vendor/model, topology (double conversion/eco), operating mode policy</w:t>
            </w:r>
          </w:p>
        </w:tc>
        <w:tc>
          <w:tcPr>
            <w:tcW w:w="1728" w:type="dxa"/>
          </w:tcPr>
          <w:p w14:paraId="20256855" w14:textId="77777777" w:rsidR="00B15AB3" w:rsidRDefault="00000000">
            <w:r>
              <w:t>UPS datasheets and manuals (Watson Discovery)</w:t>
            </w:r>
          </w:p>
        </w:tc>
        <w:tc>
          <w:tcPr>
            <w:tcW w:w="1728" w:type="dxa"/>
          </w:tcPr>
          <w:p w14:paraId="56205893" w14:textId="77777777" w:rsidR="00B15AB3" w:rsidRDefault="00000000">
            <w:r>
              <w:t>Map topology to constant-power behavior; set electronic fraction assumptions; note ride-through intent</w:t>
            </w:r>
          </w:p>
        </w:tc>
        <w:tc>
          <w:tcPr>
            <w:tcW w:w="1728" w:type="dxa"/>
          </w:tcPr>
          <w:p w14:paraId="31F2D51F" w14:textId="77777777" w:rsidR="00B15AB3" w:rsidRDefault="00000000">
            <w:r>
              <w:t>zip_model (aP/bP/cP); dynamic_parameters.voltage_sensitivity; power_quality harmonic risk</w:t>
            </w:r>
          </w:p>
        </w:tc>
        <w:tc>
          <w:tcPr>
            <w:tcW w:w="1728" w:type="dxa"/>
          </w:tcPr>
          <w:p w14:paraId="4BE6D84F" w14:textId="77777777" w:rsidR="00B15AB3" w:rsidRDefault="00000000">
            <w:r>
              <w:t>High if explicit mode policy + spec; Medium otherwise</w:t>
            </w:r>
          </w:p>
        </w:tc>
      </w:tr>
      <w:tr w:rsidR="00B15AB3" w14:paraId="124B2CE8" w14:textId="77777777">
        <w:tc>
          <w:tcPr>
            <w:tcW w:w="1728" w:type="dxa"/>
          </w:tcPr>
          <w:p w14:paraId="4A58AEA9" w14:textId="77777777" w:rsidR="00B15AB3" w:rsidRDefault="00000000">
            <w:r>
              <w:t>UPS rectifier type + THDi/THD specs; filters present</w:t>
            </w:r>
          </w:p>
        </w:tc>
        <w:tc>
          <w:tcPr>
            <w:tcW w:w="1728" w:type="dxa"/>
          </w:tcPr>
          <w:p w14:paraId="47315718" w14:textId="77777777" w:rsidR="00B15AB3" w:rsidRDefault="00000000">
            <w:r>
              <w:t>UPS power quality sections; harmonic standards references (Watson Discovery)</w:t>
            </w:r>
          </w:p>
        </w:tc>
        <w:tc>
          <w:tcPr>
            <w:tcW w:w="1728" w:type="dxa"/>
          </w:tcPr>
          <w:p w14:paraId="4AE71B6B" w14:textId="77777777" w:rsidR="00B15AB3" w:rsidRDefault="00000000">
            <w:r>
              <w:t>Assign harmonic risk score; decide if harmonic study recommended</w:t>
            </w:r>
          </w:p>
        </w:tc>
        <w:tc>
          <w:tcPr>
            <w:tcW w:w="1728" w:type="dxa"/>
          </w:tcPr>
          <w:p w14:paraId="1F13C0B3" w14:textId="77777777" w:rsidR="00B15AB3" w:rsidRDefault="00000000">
            <w:r>
              <w:t>power_quality.harmonic_risk; harmonic_study_recommended</w:t>
            </w:r>
          </w:p>
        </w:tc>
        <w:tc>
          <w:tcPr>
            <w:tcW w:w="1728" w:type="dxa"/>
          </w:tcPr>
          <w:p w14:paraId="53D44AEC" w14:textId="77777777" w:rsidR="00B15AB3" w:rsidRDefault="00000000">
            <w:r>
              <w:t>High if THDi provided; Medium if inferred from rectifier type</w:t>
            </w:r>
          </w:p>
        </w:tc>
      </w:tr>
      <w:tr w:rsidR="00B15AB3" w14:paraId="72389F73" w14:textId="77777777">
        <w:tc>
          <w:tcPr>
            <w:tcW w:w="1728" w:type="dxa"/>
          </w:tcPr>
          <w:p w14:paraId="69068CB5" w14:textId="77777777" w:rsidR="00B15AB3" w:rsidRDefault="00000000">
            <w:r>
              <w:t xml:space="preserve">Battery/energy storage autonomy </w:t>
            </w:r>
            <w:r>
              <w:lastRenderedPageBreak/>
              <w:t>and transfer behavior</w:t>
            </w:r>
          </w:p>
        </w:tc>
        <w:tc>
          <w:tcPr>
            <w:tcW w:w="1728" w:type="dxa"/>
          </w:tcPr>
          <w:p w14:paraId="3B50E015" w14:textId="77777777" w:rsidR="00B15AB3" w:rsidRDefault="00000000">
            <w:r>
              <w:lastRenderedPageBreak/>
              <w:t xml:space="preserve">UPS manuals; battery system </w:t>
            </w:r>
            <w:r>
              <w:lastRenderedPageBreak/>
              <w:t>submittals (Watson Discovery)</w:t>
            </w:r>
          </w:p>
        </w:tc>
        <w:tc>
          <w:tcPr>
            <w:tcW w:w="1728" w:type="dxa"/>
          </w:tcPr>
          <w:p w14:paraId="28B167C9" w14:textId="77777777" w:rsidR="00B15AB3" w:rsidRDefault="00000000">
            <w:r>
              <w:lastRenderedPageBreak/>
              <w:t xml:space="preserve">Infer ride-through capability window; </w:t>
            </w:r>
            <w:r>
              <w:lastRenderedPageBreak/>
              <w:t>define fault ride-through assumptions/bounds</w:t>
            </w:r>
          </w:p>
        </w:tc>
        <w:tc>
          <w:tcPr>
            <w:tcW w:w="1728" w:type="dxa"/>
          </w:tcPr>
          <w:p w14:paraId="38E761E9" w14:textId="77777777" w:rsidR="00B15AB3" w:rsidRDefault="00000000">
            <w:r>
              <w:lastRenderedPageBreak/>
              <w:t>dynamic_parameters.trip_voltage_curve (if known) or scenario bounds; recovery_time</w:t>
            </w:r>
          </w:p>
        </w:tc>
        <w:tc>
          <w:tcPr>
            <w:tcW w:w="1728" w:type="dxa"/>
          </w:tcPr>
          <w:p w14:paraId="1FA403F5" w14:textId="77777777" w:rsidR="00B15AB3" w:rsidRDefault="00000000">
            <w:r>
              <w:t xml:space="preserve">Medium: autonomy known but grid </w:t>
            </w:r>
            <w:r>
              <w:lastRenderedPageBreak/>
              <w:t>behavior depends on controls</w:t>
            </w:r>
          </w:p>
        </w:tc>
      </w:tr>
      <w:tr w:rsidR="00B15AB3" w14:paraId="025A77EF" w14:textId="77777777">
        <w:tc>
          <w:tcPr>
            <w:tcW w:w="1728" w:type="dxa"/>
          </w:tcPr>
          <w:p w14:paraId="0149E9A1" w14:textId="77777777" w:rsidR="00B15AB3" w:rsidRDefault="00000000">
            <w:r>
              <w:lastRenderedPageBreak/>
              <w:t>Generator count, model, kW rating, paralleling gear, export policy</w:t>
            </w:r>
          </w:p>
        </w:tc>
        <w:tc>
          <w:tcPr>
            <w:tcW w:w="1728" w:type="dxa"/>
          </w:tcPr>
          <w:p w14:paraId="0B9479DE" w14:textId="77777777" w:rsidR="00B15AB3" w:rsidRDefault="00000000">
            <w:r>
              <w:t>Generator datasheets; controls manuals; interconnection agreements (Watson Discovery)</w:t>
            </w:r>
          </w:p>
        </w:tc>
        <w:tc>
          <w:tcPr>
            <w:tcW w:w="1728" w:type="dxa"/>
          </w:tcPr>
          <w:p w14:paraId="5A13EBDA" w14:textId="77777777" w:rsidR="00B15AB3" w:rsidRDefault="00000000">
            <w:r>
              <w:t>Set generator_interactions flags; define islanding behavior; constrain export to false if blocked</w:t>
            </w:r>
          </w:p>
        </w:tc>
        <w:tc>
          <w:tcPr>
            <w:tcW w:w="1728" w:type="dxa"/>
          </w:tcPr>
          <w:p w14:paraId="494BE3FF" w14:textId="77777777" w:rsidR="00B15AB3" w:rsidRDefault="00000000">
            <w:r>
              <w:t>generator_interactions.islanding/export/closed_transition; dynamic scenario notes</w:t>
            </w:r>
          </w:p>
        </w:tc>
        <w:tc>
          <w:tcPr>
            <w:tcW w:w="1728" w:type="dxa"/>
          </w:tcPr>
          <w:p w14:paraId="7F768F0A" w14:textId="77777777" w:rsidR="00B15AB3" w:rsidRDefault="00000000">
            <w:r>
              <w:t>High if interconnection agreement states export policy; Medium if only design intent</w:t>
            </w:r>
          </w:p>
        </w:tc>
      </w:tr>
      <w:tr w:rsidR="00B15AB3" w14:paraId="03919ACF" w14:textId="77777777">
        <w:tc>
          <w:tcPr>
            <w:tcW w:w="1728" w:type="dxa"/>
          </w:tcPr>
          <w:p w14:paraId="63B7C4B1" w14:textId="77777777" w:rsidR="00B15AB3" w:rsidRDefault="00000000">
            <w:r>
              <w:t>ATS type (open vs closed transition) and transfer sequence timing</w:t>
            </w:r>
          </w:p>
        </w:tc>
        <w:tc>
          <w:tcPr>
            <w:tcW w:w="1728" w:type="dxa"/>
          </w:tcPr>
          <w:p w14:paraId="1C01B557" w14:textId="77777777" w:rsidR="00B15AB3" w:rsidRDefault="00000000">
            <w:r>
              <w:t>ATS submittals; commissioning scripts (Watson Discovery)</w:t>
            </w:r>
          </w:p>
        </w:tc>
        <w:tc>
          <w:tcPr>
            <w:tcW w:w="1728" w:type="dxa"/>
          </w:tcPr>
          <w:p w14:paraId="08967877" w14:textId="77777777" w:rsidR="00B15AB3" w:rsidRDefault="00000000">
            <w:r>
              <w:t>Estimate load step/drop during transfer; define ramping/step behavior bounds</w:t>
            </w:r>
          </w:p>
        </w:tc>
        <w:tc>
          <w:tcPr>
            <w:tcW w:w="1728" w:type="dxa"/>
          </w:tcPr>
          <w:p w14:paraId="0F982701" w14:textId="77777777" w:rsidR="00B15AB3" w:rsidRDefault="00000000">
            <w:r>
              <w:t>ramping.step_size_mw; dynamic_parameters.recovery_time; scenario cases</w:t>
            </w:r>
          </w:p>
        </w:tc>
        <w:tc>
          <w:tcPr>
            <w:tcW w:w="1728" w:type="dxa"/>
          </w:tcPr>
          <w:p w14:paraId="5B1D0690" w14:textId="77777777" w:rsidR="00B15AB3" w:rsidRDefault="00000000">
            <w:r>
              <w:t>Medium; depends on commissioning settings</w:t>
            </w:r>
          </w:p>
        </w:tc>
      </w:tr>
      <w:tr w:rsidR="00B15AB3" w14:paraId="60BB5525" w14:textId="77777777">
        <w:tc>
          <w:tcPr>
            <w:tcW w:w="1728" w:type="dxa"/>
          </w:tcPr>
          <w:p w14:paraId="03EC982C" w14:textId="77777777" w:rsidR="00B15AB3" w:rsidRDefault="00000000">
            <w:r>
              <w:t>Transformers: MVA, %Z, vector group, taps</w:t>
            </w:r>
          </w:p>
        </w:tc>
        <w:tc>
          <w:tcPr>
            <w:tcW w:w="1728" w:type="dxa"/>
          </w:tcPr>
          <w:p w14:paraId="26968077" w14:textId="77777777" w:rsidR="00B15AB3" w:rsidRDefault="00000000">
            <w:r>
              <w:t>Transformer datasheets and test reports (Watson Discovery)</w:t>
            </w:r>
          </w:p>
        </w:tc>
        <w:tc>
          <w:tcPr>
            <w:tcW w:w="1728" w:type="dxa"/>
          </w:tcPr>
          <w:p w14:paraId="76CB1CB6" w14:textId="77777777" w:rsidR="00B15AB3" w:rsidRDefault="00000000">
            <w:r>
              <w:t>Validate ratings; provide short-circuit and voltage drop context; flag protection impacts</w:t>
            </w:r>
          </w:p>
        </w:tc>
        <w:tc>
          <w:tcPr>
            <w:tcW w:w="1728" w:type="dxa"/>
          </w:tcPr>
          <w:p w14:paraId="691956E5" w14:textId="77777777" w:rsidR="00B15AB3" w:rsidRDefault="00000000">
            <w:r>
              <w:t>steady_state constraints; study notes (not always in output schema)</w:t>
            </w:r>
          </w:p>
        </w:tc>
        <w:tc>
          <w:tcPr>
            <w:tcW w:w="1728" w:type="dxa"/>
          </w:tcPr>
          <w:p w14:paraId="0C2774DF" w14:textId="77777777" w:rsidR="00B15AB3" w:rsidRDefault="00000000">
            <w:r>
              <w:t>High if nameplate/test report present</w:t>
            </w:r>
          </w:p>
        </w:tc>
      </w:tr>
      <w:tr w:rsidR="00B15AB3" w14:paraId="2241FCEA" w14:textId="77777777">
        <w:tc>
          <w:tcPr>
            <w:tcW w:w="1728" w:type="dxa"/>
          </w:tcPr>
          <w:p w14:paraId="0DBE46E2" w14:textId="77777777" w:rsidR="00B15AB3" w:rsidRDefault="00000000">
            <w:r>
              <w:t>Protection relay model + UV/UF/OV/OF settings at PCC</w:t>
            </w:r>
          </w:p>
        </w:tc>
        <w:tc>
          <w:tcPr>
            <w:tcW w:w="1728" w:type="dxa"/>
          </w:tcPr>
          <w:p w14:paraId="57B208CB" w14:textId="77777777" w:rsidR="00B15AB3" w:rsidRDefault="00000000">
            <w:r>
              <w:t xml:space="preserve">Relay settings exports; protection study report (Watson </w:t>
            </w:r>
            <w:r>
              <w:lastRenderedPageBreak/>
              <w:t>Discovery)</w:t>
            </w:r>
          </w:p>
        </w:tc>
        <w:tc>
          <w:tcPr>
            <w:tcW w:w="1728" w:type="dxa"/>
          </w:tcPr>
          <w:p w14:paraId="64083287" w14:textId="77777777" w:rsidR="00B15AB3" w:rsidRDefault="00000000">
            <w:r>
              <w:lastRenderedPageBreak/>
              <w:t>Translate curves into trip_* arrays; define ride-through assumptions if curves absent</w:t>
            </w:r>
          </w:p>
        </w:tc>
        <w:tc>
          <w:tcPr>
            <w:tcW w:w="1728" w:type="dxa"/>
          </w:tcPr>
          <w:p w14:paraId="29875CA1" w14:textId="77777777" w:rsidR="00B15AB3" w:rsidRDefault="00000000">
            <w:r>
              <w:t>dynamic_parameters.trip_voltage_curve; trip_frequency_curve</w:t>
            </w:r>
          </w:p>
        </w:tc>
        <w:tc>
          <w:tcPr>
            <w:tcW w:w="1728" w:type="dxa"/>
          </w:tcPr>
          <w:p w14:paraId="48F9626E" w14:textId="77777777" w:rsidR="00B15AB3" w:rsidRDefault="00000000">
            <w:r>
              <w:t>High if settings provided; Low if unknown</w:t>
            </w:r>
          </w:p>
        </w:tc>
      </w:tr>
      <w:tr w:rsidR="00B15AB3" w14:paraId="2BCA5E4C" w14:textId="77777777">
        <w:tc>
          <w:tcPr>
            <w:tcW w:w="1728" w:type="dxa"/>
          </w:tcPr>
          <w:p w14:paraId="58906683" w14:textId="77777777" w:rsidR="00B15AB3" w:rsidRDefault="00000000">
            <w:r>
              <w:t>Cooling system design: chiller type, VFD usage, motor HP totals</w:t>
            </w:r>
          </w:p>
        </w:tc>
        <w:tc>
          <w:tcPr>
            <w:tcW w:w="1728" w:type="dxa"/>
          </w:tcPr>
          <w:p w14:paraId="36B990B3" w14:textId="77777777" w:rsidR="00B15AB3" w:rsidRDefault="00000000">
            <w:r>
              <w:t>Mechanical schedules; VFD datasheets (Watson Discovery)</w:t>
            </w:r>
          </w:p>
        </w:tc>
        <w:tc>
          <w:tcPr>
            <w:tcW w:w="1728" w:type="dxa"/>
          </w:tcPr>
          <w:p w14:paraId="07F0E618" w14:textId="77777777" w:rsidR="00B15AB3" w:rsidRDefault="00000000">
            <w:r>
              <w:t>Compute motor/vfd fractions; infer dynamic recovery characteristics</w:t>
            </w:r>
          </w:p>
        </w:tc>
        <w:tc>
          <w:tcPr>
            <w:tcW w:w="1728" w:type="dxa"/>
          </w:tcPr>
          <w:p w14:paraId="3FB7C9A3" w14:textId="77777777" w:rsidR="00B15AB3" w:rsidRDefault="00000000">
            <w:r>
              <w:t>load_composition.motor/vfd fractions; zip_model coefficients bounds</w:t>
            </w:r>
          </w:p>
        </w:tc>
        <w:tc>
          <w:tcPr>
            <w:tcW w:w="1728" w:type="dxa"/>
          </w:tcPr>
          <w:p w14:paraId="08BF3E6C" w14:textId="77777777" w:rsidR="00B15AB3" w:rsidRDefault="00000000">
            <w:r>
              <w:t>Medium; depends on operating points</w:t>
            </w:r>
          </w:p>
        </w:tc>
      </w:tr>
      <w:tr w:rsidR="00B15AB3" w14:paraId="703B3670" w14:textId="77777777">
        <w:tc>
          <w:tcPr>
            <w:tcW w:w="1728" w:type="dxa"/>
          </w:tcPr>
          <w:p w14:paraId="0D9051C5" w14:textId="77777777" w:rsidR="00B15AB3" w:rsidRDefault="00000000">
            <w:r>
              <w:t>Ramping expectations: max MW/min, step energization plan</w:t>
            </w:r>
          </w:p>
        </w:tc>
        <w:tc>
          <w:tcPr>
            <w:tcW w:w="1728" w:type="dxa"/>
          </w:tcPr>
          <w:p w14:paraId="749DA2F8" w14:textId="77777777" w:rsidR="00B15AB3" w:rsidRDefault="00000000">
            <w:r>
              <w:t>Commissioning plan; operations procedures (Watson Discovery)</w:t>
            </w:r>
          </w:p>
        </w:tc>
        <w:tc>
          <w:tcPr>
            <w:tcW w:w="1728" w:type="dxa"/>
          </w:tcPr>
          <w:p w14:paraId="5E81EAF8" w14:textId="77777777" w:rsidR="00B15AB3" w:rsidRDefault="00000000">
            <w:r>
              <w:t>Populate ramping limits; generate typical vs conservative scenarios</w:t>
            </w:r>
          </w:p>
        </w:tc>
        <w:tc>
          <w:tcPr>
            <w:tcW w:w="1728" w:type="dxa"/>
          </w:tcPr>
          <w:p w14:paraId="39201512" w14:textId="77777777" w:rsidR="00B15AB3" w:rsidRDefault="00000000">
            <w:r>
              <w:t>ramping.max_ramp_up/down; step_size_mw; scenario variants</w:t>
            </w:r>
          </w:p>
        </w:tc>
        <w:tc>
          <w:tcPr>
            <w:tcW w:w="1728" w:type="dxa"/>
          </w:tcPr>
          <w:p w14:paraId="1ED51960" w14:textId="77777777" w:rsidR="00B15AB3" w:rsidRDefault="00000000">
            <w:r>
              <w:t>High if commissioning plan exists; Medium otherwise</w:t>
            </w:r>
          </w:p>
        </w:tc>
      </w:tr>
      <w:tr w:rsidR="00B15AB3" w14:paraId="0462FD6B" w14:textId="77777777">
        <w:tc>
          <w:tcPr>
            <w:tcW w:w="1728" w:type="dxa"/>
          </w:tcPr>
          <w:p w14:paraId="2AA45A3B" w14:textId="77777777" w:rsidR="00B15AB3" w:rsidRDefault="00000000">
            <w:r>
              <w:t>Power factor / reactive power control policy</w:t>
            </w:r>
          </w:p>
        </w:tc>
        <w:tc>
          <w:tcPr>
            <w:tcW w:w="1728" w:type="dxa"/>
          </w:tcPr>
          <w:p w14:paraId="7E264081" w14:textId="77777777" w:rsidR="00B15AB3" w:rsidRDefault="00000000">
            <w:r>
              <w:t>Electrical basis-of-design; utility requirements (Watson Discovery)</w:t>
            </w:r>
          </w:p>
        </w:tc>
        <w:tc>
          <w:tcPr>
            <w:tcW w:w="1728" w:type="dxa"/>
          </w:tcPr>
          <w:p w14:paraId="1C85821C" w14:textId="77777777" w:rsidR="00B15AB3" w:rsidRDefault="00000000">
            <w:r>
              <w:t>Set PF target and Q limits; choose fixed PF vs voltage control intent</w:t>
            </w:r>
          </w:p>
        </w:tc>
        <w:tc>
          <w:tcPr>
            <w:tcW w:w="1728" w:type="dxa"/>
          </w:tcPr>
          <w:p w14:paraId="48DD3FB7" w14:textId="77777777" w:rsidR="00B15AB3" w:rsidRDefault="00000000">
            <w:r>
              <w:t>steady_state.power_factor_target; qmax/qmin if known</w:t>
            </w:r>
          </w:p>
        </w:tc>
        <w:tc>
          <w:tcPr>
            <w:tcW w:w="1728" w:type="dxa"/>
          </w:tcPr>
          <w:p w14:paraId="6AE23D9F" w14:textId="77777777" w:rsidR="00B15AB3" w:rsidRDefault="00000000">
            <w:r>
              <w:t>High if utility requirement documented</w:t>
            </w:r>
          </w:p>
        </w:tc>
      </w:tr>
      <w:tr w:rsidR="00B15AB3" w14:paraId="73F3FC8F" w14:textId="77777777">
        <w:tc>
          <w:tcPr>
            <w:tcW w:w="1728" w:type="dxa"/>
          </w:tcPr>
          <w:p w14:paraId="64A0A0B3" w14:textId="77777777" w:rsidR="00B15AB3" w:rsidRDefault="00000000">
            <w:r>
              <w:t>Power management software / demand response capabilities (if any)</w:t>
            </w:r>
          </w:p>
        </w:tc>
        <w:tc>
          <w:tcPr>
            <w:tcW w:w="1728" w:type="dxa"/>
          </w:tcPr>
          <w:p w14:paraId="0141E107" w14:textId="77777777" w:rsidR="00B15AB3" w:rsidRDefault="00000000">
            <w:r>
              <w:t>Operations docs; EMS/BMS descriptions (Watson Discovery)</w:t>
            </w:r>
          </w:p>
        </w:tc>
        <w:tc>
          <w:tcPr>
            <w:tcW w:w="1728" w:type="dxa"/>
          </w:tcPr>
          <w:p w14:paraId="57626F88" w14:textId="77777777" w:rsidR="00B15AB3" w:rsidRDefault="00000000">
            <w:r>
              <w:t>Define optional ramp limiting and curtailment flags; note for planners</w:t>
            </w:r>
          </w:p>
        </w:tc>
        <w:tc>
          <w:tcPr>
            <w:tcW w:w="1728" w:type="dxa"/>
          </w:tcPr>
          <w:p w14:paraId="765D91C4" w14:textId="77777777" w:rsidR="00B15AB3" w:rsidRDefault="00000000">
            <w:r>
              <w:t>ramping limits; notes in packet; may not map to core schema fields</w:t>
            </w:r>
          </w:p>
        </w:tc>
        <w:tc>
          <w:tcPr>
            <w:tcW w:w="1728" w:type="dxa"/>
          </w:tcPr>
          <w:p w14:paraId="7EADFDF1" w14:textId="77777777" w:rsidR="00B15AB3" w:rsidRDefault="00000000">
            <w:r>
              <w:t>Low to Medium; often proprietary or not documented</w:t>
            </w:r>
          </w:p>
        </w:tc>
      </w:tr>
    </w:tbl>
    <w:p w14:paraId="722CFD72" w14:textId="77777777" w:rsidR="00B15AB3" w:rsidRDefault="00000000">
      <w:pPr>
        <w:pStyle w:val="Heading1"/>
      </w:pPr>
      <w:r>
        <w:t>2. Follow-Up Question Generation Rules</w:t>
      </w:r>
    </w:p>
    <w:p w14:paraId="4303F639" w14:textId="77777777" w:rsidR="00B15AB3" w:rsidRDefault="00000000">
      <w:pPr>
        <w:pStyle w:val="ListBullet"/>
        <w:spacing w:after="40"/>
      </w:pPr>
      <w:r>
        <w:t>If trip curves are missing: ask for relay settings export or protection study summary at PCC.</w:t>
      </w:r>
    </w:p>
    <w:p w14:paraId="0A09D3A2" w14:textId="77777777" w:rsidR="00B15AB3" w:rsidRDefault="00000000">
      <w:pPr>
        <w:pStyle w:val="ListBullet"/>
        <w:spacing w:after="40"/>
      </w:pPr>
      <w:r>
        <w:lastRenderedPageBreak/>
        <w:t>If UPS operating mode policy is missing: ask whether double conversion is always enabled, and whether eco/bypass is permitted.</w:t>
      </w:r>
    </w:p>
    <w:p w14:paraId="3608A90C" w14:textId="77777777" w:rsidR="00B15AB3" w:rsidRDefault="00000000">
      <w:pPr>
        <w:pStyle w:val="ListBullet"/>
        <w:spacing w:after="40"/>
      </w:pPr>
      <w:r>
        <w:t>If export policy is ambiguous: ask whether generators are interlocked to prevent export and whether closed transition is enabled.</w:t>
      </w:r>
    </w:p>
    <w:p w14:paraId="0549F7DF" w14:textId="77777777" w:rsidR="00B15AB3" w:rsidRDefault="00000000">
      <w:pPr>
        <w:pStyle w:val="ListBullet"/>
        <w:spacing w:after="40"/>
      </w:pPr>
      <w:r>
        <w:t>If cooling composition is unclear: ask for motor HP totals and whether major motors are VFD-controlled.</w:t>
      </w:r>
    </w:p>
    <w:p w14:paraId="01B6D692" w14:textId="77777777" w:rsidR="00B15AB3" w:rsidRDefault="00000000">
      <w:pPr>
        <w:pStyle w:val="ListBullet"/>
        <w:spacing w:after="40"/>
      </w:pPr>
      <w:r>
        <w:t>If ramping plan is missing: ask for commissioning energization step schedule and max ramp constraints.</w:t>
      </w:r>
    </w:p>
    <w:p w14:paraId="5E524720" w14:textId="77777777" w:rsidR="00B15AB3" w:rsidRDefault="00000000">
      <w:pPr>
        <w:pStyle w:val="Heading1"/>
      </w:pPr>
      <w:r>
        <w:t>3. Output Quality Requirements</w:t>
      </w:r>
    </w:p>
    <w:p w14:paraId="157F774A" w14:textId="77777777" w:rsidR="00B15AB3" w:rsidRDefault="00000000">
      <w:pPr>
        <w:pStyle w:val="ListBullet"/>
        <w:spacing w:after="40"/>
      </w:pPr>
      <w:r>
        <w:t>Every mapping must either include evidence references or mark the resulting outputs as assumptions with Low confidence.</w:t>
      </w:r>
    </w:p>
    <w:p w14:paraId="56100223" w14:textId="77777777" w:rsidR="00B15AB3" w:rsidRDefault="00000000">
      <w:pPr>
        <w:pStyle w:val="ListBullet"/>
        <w:spacing w:after="40"/>
      </w:pPr>
      <w:r>
        <w:t>When uncertain, generate Typical/Conservative/Best-case scenarios rather than a single set of parameters.</w:t>
      </w:r>
    </w:p>
    <w:p w14:paraId="3F2ED1A8" w14:textId="77777777" w:rsidR="00B15AB3" w:rsidRDefault="00000000">
      <w:pPr>
        <w:pStyle w:val="ListBullet"/>
        <w:spacing w:after="40"/>
      </w:pPr>
      <w:r>
        <w:t>All numeric outputs must include unit normalization and bounds checking.</w:t>
      </w:r>
    </w:p>
    <w:sectPr w:rsidR="00B15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542797">
    <w:abstractNumId w:val="8"/>
  </w:num>
  <w:num w:numId="2" w16cid:durableId="1072001629">
    <w:abstractNumId w:val="6"/>
  </w:num>
  <w:num w:numId="3" w16cid:durableId="553202680">
    <w:abstractNumId w:val="5"/>
  </w:num>
  <w:num w:numId="4" w16cid:durableId="507015345">
    <w:abstractNumId w:val="4"/>
  </w:num>
  <w:num w:numId="5" w16cid:durableId="709190977">
    <w:abstractNumId w:val="7"/>
  </w:num>
  <w:num w:numId="6" w16cid:durableId="1115514382">
    <w:abstractNumId w:val="3"/>
  </w:num>
  <w:num w:numId="7" w16cid:durableId="1807239118">
    <w:abstractNumId w:val="2"/>
  </w:num>
  <w:num w:numId="8" w16cid:durableId="804471565">
    <w:abstractNumId w:val="1"/>
  </w:num>
  <w:num w:numId="9" w16cid:durableId="1377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D8"/>
    <w:rsid w:val="00034616"/>
    <w:rsid w:val="0006063C"/>
    <w:rsid w:val="0015074B"/>
    <w:rsid w:val="0029639D"/>
    <w:rsid w:val="00326F90"/>
    <w:rsid w:val="00365CBC"/>
    <w:rsid w:val="00AA1D8D"/>
    <w:rsid w:val="00B15AB3"/>
    <w:rsid w:val="00B47730"/>
    <w:rsid w:val="00C31F8F"/>
    <w:rsid w:val="00CA3E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B5534"/>
  <w14:defaultImageDpi w14:val="300"/>
  <w15:docId w15:val="{2C85487B-7971-4A6F-B83E-3B725AE29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Thad M</cp:lastModifiedBy>
  <cp:revision>3</cp:revision>
  <dcterms:created xsi:type="dcterms:W3CDTF">2013-12-23T23:15:00Z</dcterms:created>
  <dcterms:modified xsi:type="dcterms:W3CDTF">2026-03-05T16:33:00Z</dcterms:modified>
  <cp:category/>
</cp:coreProperties>
</file>