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5F16" w14:textId="3E390D28" w:rsidR="004A748D" w:rsidRDefault="000327D9">
      <w:pPr>
        <w:pStyle w:val="Title"/>
      </w:pPr>
      <w:proofErr w:type="spellStart"/>
      <w:r>
        <w:t>GridSenpAI</w:t>
      </w:r>
      <w:proofErr w:type="spellEnd"/>
      <w:r w:rsidR="00000000">
        <w:t xml:space="preserve"> Translation Engine Algorithm Specification </w:t>
      </w:r>
    </w:p>
    <w:p w14:paraId="2E31A5FC" w14:textId="77777777" w:rsidR="004A748D" w:rsidRDefault="00000000">
      <w:pPr>
        <w:pStyle w:val="Heading1"/>
      </w:pPr>
      <w:r>
        <w:t>1. Purpose</w:t>
      </w:r>
    </w:p>
    <w:p w14:paraId="41B989F7" w14:textId="77777777" w:rsidR="004A748D" w:rsidRDefault="00000000">
      <w:pPr>
        <w:spacing w:after="120"/>
      </w:pPr>
      <w:r>
        <w:t>Specify the translation logic that converts facility engineering artifacts into transmission planning model parameters. This document is written for implementation using RAG (IBM Watson Discovery + watsonx.ai) plus deterministic rule layers for unit normalization, bounds enforcement, and schema validation.</w:t>
      </w:r>
    </w:p>
    <w:p w14:paraId="05EEA545" w14:textId="77777777" w:rsidR="004A748D" w:rsidRDefault="00000000">
      <w:pPr>
        <w:pStyle w:val="Heading1"/>
      </w:pPr>
      <w:r>
        <w:t>2. Inputs and Outputs</w:t>
      </w:r>
    </w:p>
    <w:p w14:paraId="2F47080E" w14:textId="77777777" w:rsidR="004A748D" w:rsidRDefault="00000000">
      <w:pPr>
        <w:spacing w:after="120"/>
      </w:pPr>
      <w:r>
        <w:t>Inputs: structured facility schema populated from document parsing (IBM Watson Discovery + watsonx.ai) and direct user entries. Supporting evidence retrieved via RAG (IBM Watson Discovery + watsonx.ai). Outputs: TP parameter schema including steady-state, ZIP, dynamic parameters, composition, ramping, and confidence/provenance.</w:t>
      </w:r>
    </w:p>
    <w:p w14:paraId="530CDF92" w14:textId="77777777" w:rsidR="004A748D" w:rsidRDefault="00000000">
      <w:pPr>
        <w:pStyle w:val="Heading1"/>
      </w:pPr>
      <w:r>
        <w:t>3. Pipeline Stages</w:t>
      </w:r>
    </w:p>
    <w:p w14:paraId="2FE9BFC1" w14:textId="77777777" w:rsidR="004A748D" w:rsidRDefault="00000000">
      <w:pPr>
        <w:pStyle w:val="Heading2"/>
      </w:pPr>
      <w:r>
        <w:t>3.1 Ingestion and Parsing</w:t>
      </w:r>
    </w:p>
    <w:p w14:paraId="356E0F2E" w14:textId="77777777" w:rsidR="004A748D" w:rsidRDefault="00000000">
      <w:pPr>
        <w:pStyle w:val="ListNumber"/>
        <w:spacing w:after="40"/>
      </w:pPr>
      <w:r>
        <w:t>Ingest facility documents. Document ingestion (IBM Watson Discovery).</w:t>
      </w:r>
    </w:p>
    <w:p w14:paraId="5A4916CD" w14:textId="77777777" w:rsidR="004A748D" w:rsidRDefault="00000000">
      <w:pPr>
        <w:pStyle w:val="ListNumber"/>
        <w:spacing w:after="40"/>
      </w:pPr>
      <w:r>
        <w:t>Parse one-lines/specs to extract equipment list, ratings, topology cues, and settings. Document parsing (IBM Watson Discovery enrichments + watsonx.ai).</w:t>
      </w:r>
    </w:p>
    <w:p w14:paraId="40FC8E10" w14:textId="77777777" w:rsidR="004A748D" w:rsidRDefault="00000000">
      <w:pPr>
        <w:pStyle w:val="ListNumber"/>
        <w:spacing w:after="40"/>
      </w:pPr>
      <w:r>
        <w:t>Normalize units and names to canonical identifiers (e.g., kW→MW; kVA→MW using PF where known).</w:t>
      </w:r>
    </w:p>
    <w:p w14:paraId="33E2E29D" w14:textId="77777777" w:rsidR="004A748D" w:rsidRDefault="00000000">
      <w:pPr>
        <w:pStyle w:val="Heading2"/>
      </w:pPr>
      <w:r>
        <w:t>3.2 Retrieval (Grounding)</w:t>
      </w:r>
    </w:p>
    <w:p w14:paraId="221C82F8" w14:textId="77777777" w:rsidR="004A748D" w:rsidRDefault="00000000">
      <w:pPr>
        <w:pStyle w:val="ListNumber"/>
        <w:spacing w:after="40"/>
      </w:pPr>
      <w:r>
        <w:t>For each extracted equipment item (UPS, generator, VFD, relay), retrieve relevant datasheet sections and operational behavior notes. RAG (IBM Watson Discovery + watsonx.ai).</w:t>
      </w:r>
    </w:p>
    <w:p w14:paraId="3AD92715" w14:textId="77777777" w:rsidR="004A748D" w:rsidRDefault="00000000">
      <w:pPr>
        <w:pStyle w:val="ListNumber"/>
        <w:spacing w:after="40"/>
      </w:pPr>
      <w:r>
        <w:t>Retrieve modeling guidance documents applicable to the target region/ISO if provided; otherwise use default modeling references.</w:t>
      </w:r>
    </w:p>
    <w:p w14:paraId="37BD12F1" w14:textId="77777777" w:rsidR="004A748D" w:rsidRDefault="00000000">
      <w:pPr>
        <w:pStyle w:val="ListNumber"/>
        <w:spacing w:after="40"/>
      </w:pPr>
      <w:r>
        <w:t>Return evidence passages with IDs for provenance.</w:t>
      </w:r>
    </w:p>
    <w:p w14:paraId="6B8C77DF" w14:textId="77777777" w:rsidR="004A748D" w:rsidRDefault="00000000">
      <w:pPr>
        <w:pStyle w:val="Heading2"/>
      </w:pPr>
      <w:r>
        <w:t>3.3 Behavioral Feature Extraction</w:t>
      </w:r>
    </w:p>
    <w:p w14:paraId="06DF9B6E" w14:textId="77777777" w:rsidR="004A748D" w:rsidRDefault="00000000">
      <w:pPr>
        <w:pStyle w:val="ListBullet"/>
        <w:spacing w:after="40"/>
      </w:pPr>
      <w:r>
        <w:t>Identify UPS topology (double conversion vs eco/bypass), input rectifier type, and ride-through intent.</w:t>
      </w:r>
    </w:p>
    <w:p w14:paraId="4B5A705A" w14:textId="77777777" w:rsidR="004A748D" w:rsidRDefault="00000000">
      <w:pPr>
        <w:pStyle w:val="ListBullet"/>
        <w:spacing w:after="40"/>
      </w:pPr>
      <w:r>
        <w:t>Identify generator operating policy (island-only vs parallel, export allowed/blocked, transfer mode).</w:t>
      </w:r>
    </w:p>
    <w:p w14:paraId="6794F8AC" w14:textId="77777777" w:rsidR="004A748D" w:rsidRDefault="00000000">
      <w:pPr>
        <w:pStyle w:val="ListBullet"/>
        <w:spacing w:after="40"/>
      </w:pPr>
      <w:r>
        <w:t>Estimate load composition fractions: IT/electronic vs cooling motor/VFD vs static.</w:t>
      </w:r>
    </w:p>
    <w:p w14:paraId="5914BF5E" w14:textId="77777777" w:rsidR="004A748D" w:rsidRDefault="00000000">
      <w:pPr>
        <w:pStyle w:val="ListBullet"/>
        <w:spacing w:after="40"/>
      </w:pPr>
      <w:r>
        <w:lastRenderedPageBreak/>
        <w:t>Extract protection trip/ride-through curves (UV/UF/OV/OF) when available; otherwise mark as missing and use scenario bounds.</w:t>
      </w:r>
    </w:p>
    <w:p w14:paraId="0BFE4DAC" w14:textId="77777777" w:rsidR="004A748D" w:rsidRDefault="00000000">
      <w:pPr>
        <w:pStyle w:val="Heading2"/>
      </w:pPr>
      <w:r>
        <w:t>3.4 Mapping Rules (Deterministic + Model-Assisted)</w:t>
      </w:r>
    </w:p>
    <w:p w14:paraId="35F66EC4" w14:textId="688A6524" w:rsidR="004A748D" w:rsidRDefault="000327D9">
      <w:pPr>
        <w:spacing w:after="120"/>
      </w:pPr>
      <w:proofErr w:type="spellStart"/>
      <w:r>
        <w:t>GridSenpAI</w:t>
      </w:r>
      <w:proofErr w:type="spellEnd"/>
      <w:r w:rsidR="00000000">
        <w:t xml:space="preserve"> uses a hybrid approach: deterministic rules for conversions and guardrails; model-assisted inference for classification and defaults when evidence exists.</w:t>
      </w:r>
    </w:p>
    <w:p w14:paraId="4A042048" w14:textId="77777777" w:rsidR="004A748D" w:rsidRDefault="00000000">
      <w:pPr>
        <w:pStyle w:val="ListBullet"/>
        <w:spacing w:after="40"/>
      </w:pPr>
      <w:r>
        <w:t>Unit conversion and validation are deterministic (no AI).</w:t>
      </w:r>
    </w:p>
    <w:p w14:paraId="1B574426" w14:textId="77777777" w:rsidR="004A748D" w:rsidRDefault="00000000">
      <w:pPr>
        <w:pStyle w:val="ListBullet"/>
        <w:spacing w:after="40"/>
      </w:pPr>
      <w:r>
        <w:t>Classification (e.g., UPS mode implies constant-power behavior) may be model-assisted but must cite evidence.</w:t>
      </w:r>
    </w:p>
    <w:p w14:paraId="7DDE1F0C" w14:textId="77777777" w:rsidR="004A748D" w:rsidRDefault="00000000">
      <w:pPr>
        <w:pStyle w:val="ListBullet"/>
        <w:spacing w:after="40"/>
      </w:pPr>
      <w:r>
        <w:t>If no evidence is retrieved, output must include an assumption with Low confidence and a follow-up question.</w:t>
      </w:r>
    </w:p>
    <w:p w14:paraId="4D5A06DF" w14:textId="77777777" w:rsidR="004A748D" w:rsidRDefault="00000000">
      <w:pPr>
        <w:pStyle w:val="Heading2"/>
      </w:pPr>
      <w:r>
        <w:t>3.5 Equivalent Load Model Generation</w:t>
      </w:r>
    </w:p>
    <w:p w14:paraId="11C66810" w14:textId="77777777" w:rsidR="004A748D" w:rsidRDefault="00000000">
      <w:pPr>
        <w:pStyle w:val="ListBullet"/>
        <w:spacing w:after="40"/>
      </w:pPr>
      <w:r>
        <w:t>Compute P/Q envelopes at the POI for each buildout phase.</w:t>
      </w:r>
    </w:p>
    <w:p w14:paraId="0392F97E" w14:textId="77777777" w:rsidR="004A748D" w:rsidRDefault="00000000">
      <w:pPr>
        <w:pStyle w:val="ListBullet"/>
        <w:spacing w:after="40"/>
      </w:pPr>
      <w:r>
        <w:t>Generate ZIP coefficients based on composition + evidence; produce bounds when uncertain.</w:t>
      </w:r>
    </w:p>
    <w:p w14:paraId="387A1BC8" w14:textId="77777777" w:rsidR="004A748D" w:rsidRDefault="00000000">
      <w:pPr>
        <w:pStyle w:val="ListBullet"/>
        <w:spacing w:after="40"/>
      </w:pPr>
      <w:r>
        <w:t>Generate dynamic parameters: voltage/frequency sensitivity, recovery time constants, and trip/reconnect logic where supported.</w:t>
      </w:r>
    </w:p>
    <w:p w14:paraId="3F88ACA9" w14:textId="77777777" w:rsidR="004A748D" w:rsidRDefault="00000000">
      <w:pPr>
        <w:pStyle w:val="ListBullet"/>
        <w:spacing w:after="40"/>
      </w:pPr>
      <w:r>
        <w:t>Generate scenario variants: Typical, Conservative, Best-case.</w:t>
      </w:r>
    </w:p>
    <w:p w14:paraId="7954A389" w14:textId="77777777" w:rsidR="004A748D" w:rsidRDefault="00000000">
      <w:pPr>
        <w:pStyle w:val="Heading2"/>
      </w:pPr>
      <w:r>
        <w:t>3.6 Provenance and Confidence</w:t>
      </w:r>
    </w:p>
    <w:p w14:paraId="3F12BE4C" w14:textId="77777777" w:rsidR="004A748D" w:rsidRDefault="00000000">
      <w:pPr>
        <w:pStyle w:val="ListBullet"/>
        <w:spacing w:after="40"/>
      </w:pPr>
      <w:r>
        <w:t>Attach evidence references (Watson Discovery document ID + passage/snippet reference) to each parameter.</w:t>
      </w:r>
    </w:p>
    <w:p w14:paraId="4D1B4971" w14:textId="77777777" w:rsidR="004A748D" w:rsidRDefault="00000000">
      <w:pPr>
        <w:pStyle w:val="ListBullet"/>
        <w:spacing w:after="40"/>
      </w:pPr>
      <w:r>
        <w:t>Assign confidence levels per parameter and per scenario.</w:t>
      </w:r>
    </w:p>
    <w:p w14:paraId="2ADD5A1B" w14:textId="77777777" w:rsidR="004A748D" w:rsidRDefault="00000000">
      <w:pPr>
        <w:pStyle w:val="ListBullet"/>
        <w:spacing w:after="40"/>
      </w:pPr>
      <w:r>
        <w:t>Create a missing-data list with the exact question to ask, tied to the parameter impacted.</w:t>
      </w:r>
    </w:p>
    <w:p w14:paraId="08D6806C" w14:textId="77777777" w:rsidR="004A748D" w:rsidRDefault="00000000">
      <w:pPr>
        <w:pStyle w:val="Heading1"/>
      </w:pPr>
      <w:r>
        <w:t>4. Failure Modes and Handling</w:t>
      </w:r>
    </w:p>
    <w:p w14:paraId="28097512" w14:textId="77777777" w:rsidR="004A748D" w:rsidRDefault="00000000">
      <w:pPr>
        <w:pStyle w:val="ListBullet"/>
        <w:spacing w:after="40"/>
      </w:pPr>
      <w:r>
        <w:t>Unreadable one-line diagram → request clearer file or supplemental equipment schedule; proceed with partial data if possible.</w:t>
      </w:r>
    </w:p>
    <w:p w14:paraId="0DDCF21C" w14:textId="77777777" w:rsidR="004A748D" w:rsidRDefault="00000000">
      <w:pPr>
        <w:pStyle w:val="ListBullet"/>
        <w:spacing w:after="40"/>
      </w:pPr>
      <w:r>
        <w:t>Conflicting values across documents → flag conflict, present both, and request authoritative source.</w:t>
      </w:r>
    </w:p>
    <w:p w14:paraId="7040C2FB" w14:textId="77777777" w:rsidR="004A748D" w:rsidRDefault="00000000">
      <w:pPr>
        <w:pStyle w:val="ListBullet"/>
        <w:spacing w:after="40"/>
      </w:pPr>
      <w:r>
        <w:t>Missing trip curves or controls policy → generate scenario bounds and follow-up questions; do not fabricate.</w:t>
      </w:r>
    </w:p>
    <w:p w14:paraId="7F851AD4" w14:textId="77777777" w:rsidR="004A748D" w:rsidRDefault="00000000">
      <w:pPr>
        <w:pStyle w:val="Heading1"/>
      </w:pPr>
      <w:r>
        <w:t>5. Outputs</w:t>
      </w:r>
    </w:p>
    <w:p w14:paraId="30633CC4" w14:textId="43BD2AD8" w:rsidR="004A748D" w:rsidRDefault="00000000">
      <w:pPr>
        <w:pStyle w:val="ListBullet"/>
        <w:spacing w:after="40"/>
      </w:pPr>
      <w:r>
        <w:t xml:space="preserve">Machine-readable JSON output conforming to </w:t>
      </w:r>
      <w:proofErr w:type="spellStart"/>
      <w:r w:rsidR="000327D9">
        <w:t>GridSenpAI</w:t>
      </w:r>
      <w:r>
        <w:t>_outputs_</w:t>
      </w:r>
      <w:proofErr w:type="gramStart"/>
      <w:r>
        <w:t>schema.json</w:t>
      </w:r>
      <w:proofErr w:type="spellEnd"/>
      <w:proofErr w:type="gramEnd"/>
      <w:r>
        <w:t>.</w:t>
      </w:r>
    </w:p>
    <w:p w14:paraId="6A1EE785" w14:textId="77777777" w:rsidR="004A748D" w:rsidRDefault="00000000">
      <w:pPr>
        <w:pStyle w:val="ListBullet"/>
        <w:spacing w:after="40"/>
      </w:pPr>
      <w:r>
        <w:t>Human-readable modeling packet summarizing assumptions, bounds, and evidence citations.</w:t>
      </w:r>
    </w:p>
    <w:p w14:paraId="3EA4BB9F" w14:textId="77777777" w:rsidR="004A748D" w:rsidRDefault="00000000">
      <w:pPr>
        <w:pStyle w:val="ListBullet"/>
        <w:spacing w:after="40"/>
      </w:pPr>
      <w:r>
        <w:t>Changelog when regenerating outputs from updated inputs.</w:t>
      </w:r>
    </w:p>
    <w:sectPr w:rsidR="004A74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13425">
    <w:abstractNumId w:val="8"/>
  </w:num>
  <w:num w:numId="2" w16cid:durableId="2086830069">
    <w:abstractNumId w:val="6"/>
  </w:num>
  <w:num w:numId="3" w16cid:durableId="316808555">
    <w:abstractNumId w:val="5"/>
  </w:num>
  <w:num w:numId="4" w16cid:durableId="1469546121">
    <w:abstractNumId w:val="4"/>
  </w:num>
  <w:num w:numId="5" w16cid:durableId="639454888">
    <w:abstractNumId w:val="7"/>
  </w:num>
  <w:num w:numId="6" w16cid:durableId="1564172337">
    <w:abstractNumId w:val="3"/>
  </w:num>
  <w:num w:numId="7" w16cid:durableId="1675256046">
    <w:abstractNumId w:val="2"/>
  </w:num>
  <w:num w:numId="8" w16cid:durableId="1095783785">
    <w:abstractNumId w:val="1"/>
  </w:num>
  <w:num w:numId="9" w16cid:durableId="208745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D9"/>
    <w:rsid w:val="00034616"/>
    <w:rsid w:val="0006063C"/>
    <w:rsid w:val="000A4BC8"/>
    <w:rsid w:val="0015074B"/>
    <w:rsid w:val="0029639D"/>
    <w:rsid w:val="00326F90"/>
    <w:rsid w:val="0033377A"/>
    <w:rsid w:val="00365CBC"/>
    <w:rsid w:val="004A74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DEBB0D"/>
  <w14:defaultImageDpi w14:val="300"/>
  <w15:docId w15:val="{A8CFB76D-A4ED-4C19-A696-CCEBCAF8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Thad M</cp:lastModifiedBy>
  <cp:revision>3</cp:revision>
  <dcterms:created xsi:type="dcterms:W3CDTF">2013-12-23T23:15:00Z</dcterms:created>
  <dcterms:modified xsi:type="dcterms:W3CDTF">2026-03-05T16:35:00Z</dcterms:modified>
  <cp:category/>
</cp:coreProperties>
</file>