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GridSensai Research Extraction Template</w:t>
      </w:r>
    </w:p>
    <w:p>
      <w:r>
        <w:rPr>
          <w:b/>
        </w:rPr>
        <w:t>Section Title</w:t>
      </w:r>
    </w:p>
    <w:p>
      <w:r>
        <w:t>Interconnection Process</w:t>
      </w:r>
    </w:p>
    <w:p>
      <w:r>
        <w:rPr>
          <w:b/>
        </w:rPr>
        <w:t>Question</w:t>
      </w:r>
    </w:p>
    <w:p>
      <w:r>
        <w:t>6. Can you walk me through the full process your company follows when trying to interconnect a new large load to the grid?</w:t>
      </w:r>
    </w:p>
    <w:p>
      <w:r>
        <w:rPr>
          <w:b/>
        </w:rPr>
        <w:t>Extracted Answer</w:t>
      </w:r>
    </w:p>
    <w:p>
      <w:r>
        <w:t>Across U.S. jurisdictions there is no single universal “large load interconnection” workflow, but multiple credible sources describe a common pattern:</w:t>
        <w:br/>
        <w:t>1) early engagement and an initial request/application to the local utility or transmission service provider (and, in some regions, the RTO/ISO),</w:t>
        <w:br/>
        <w:t>2) a kickoff/scoping phase to define required reliability studies and assumptions,</w:t>
        <w:br/>
        <w:t>3) execution of reliability studies (often including steady-state power flow, stability/dynamics, short-circuit/protection, and sometimes subsynchronous oscillation or power quality work),</w:t>
        <w:br/>
        <w:t>4) identification of required upgrades and/or operational limits, plus a commissioning/energization plan (often phased energization),</w:t>
        <w:br/>
        <w:t>5) execution of agreements and financial security, followed by construction, commissioning/testing, and permission to energize.</w:t>
        <w:br/>
        <w:br/>
        <w:t>ERCOT’s Large Load Interconnection Process is one of the clearest publicly documented examples: the customer submits a request to the relevant Transmission Service Provider (TSP), ERCOT assigns an identifier and convenes a kickoff meeting, studies are performed and reviewed, and the resulting load commissioning plan is updated based on needed upgrades before the load is authorized to energize.</w:t>
      </w:r>
    </w:p>
    <w:p>
      <w:r>
        <w:rPr>
          <w:b/>
        </w:rPr>
        <w:t>Source</w:t>
      </w:r>
    </w:p>
    <w:p>
      <w:pPr>
        <w:pStyle w:val="ListBullet"/>
      </w:pPr>
      <w:r>
        <w:t>ERCOT (rev. 12/15/2025), “Questions and Answers About the Large Load Interconnection Process” (Large Load Interconnection Process Q&amp;A). https://www.ercot.com/files/docs/2025/12/24/Large-Load-Interconnection-Process-Q-A.pdf</w:t>
      </w:r>
    </w:p>
    <w:p>
      <w:pPr>
        <w:pStyle w:val="ListBullet"/>
      </w:pPr>
      <w:r>
        <w:t>GridLab (March 2025), “Large Loads Interim Report” (utility practices and illustrative large-load interconnection process). https://gridlab.org/wp-content/uploads/2025/03/GridLab-Report-Large-Loads-Interim-Report.pdf</w:t>
      </w:r>
    </w:p>
    <w:p>
      <w:pPr>
        <w:pStyle w:val="ListBullet"/>
      </w:pPr>
      <w:r>
        <w:t>NERC FAC-002 referenced in GridLab report discussion of facility interconnection studies (reliability impact study requirement for end-user facilities). https://gridlab.org/wp-content/uploads/2025/03/GridLab-Report-Large-Loads-Interim-Report.pdf</w:t>
      </w:r>
    </w:p>
    <w:p>
      <w:r>
        <w:rPr>
          <w:b/>
        </w:rPr>
        <w:t>Evidence or Key Passage</w:t>
      </w:r>
    </w:p>
    <w:p>
      <w:pPr>
        <w:pStyle w:val="ListBullet"/>
      </w:pPr>
      <w:r>
        <w:t>ERCOT: “submit an interconnection request to the appropriate TSP… ERCOT would then assign… a unique Large Load Interconnection identifier (LLI-#) and a kickoff meeting would be scheduled.” (Large Load Interconnection Process Q&amp;A, pp. 5–6)</w:t>
      </w:r>
    </w:p>
    <w:p>
      <w:pPr>
        <w:pStyle w:val="ListBullet"/>
      </w:pPr>
      <w:r>
        <w:t>ERCOT: kickoff meeting is to “identify the required reliability studies, define the study area, and identify the appropriate cases to use.” (Q&amp;A, p. 6–7)</w:t>
      </w:r>
    </w:p>
    <w:p>
      <w:pPr>
        <w:pStyle w:val="ListBullet"/>
      </w:pPr>
      <w:r>
        <w:t>GridLab: illustrative process steps include “Initial Screening and Feasibility Study… Large Load System Impact Study… Large Load Facilities Study… [then] construction, commission, test, and interconnect.” (Large Loads Interim Report, p. 26–27)</w:t>
      </w:r>
    </w:p>
    <w:p>
      <w:r>
        <w:rPr>
          <w:b/>
        </w:rPr>
        <w:t>Source Type</w:t>
      </w:r>
    </w:p>
    <w:p>
      <w:pPr>
        <w:pStyle w:val="ListBullet"/>
      </w:pPr>
      <w:r>
        <w:t>ISO/utility documentation (ERCOT process documentation)</w:t>
      </w:r>
    </w:p>
    <w:p>
      <w:pPr>
        <w:pStyle w:val="ListBullet"/>
      </w:pPr>
      <w:r>
        <w:t>Independent technical/industry report (GridLab)</w:t>
      </w:r>
    </w:p>
    <w:p>
      <w:pPr>
        <w:pStyle w:val="ListBullet"/>
      </w:pPr>
      <w:r>
        <w:t>Reliability standard context (NERC FAC-002 discussed in GridLab)</w:t>
      </w:r>
    </w:p>
    <w:p>
      <w:r>
        <w:rPr>
          <w:b/>
        </w:rPr>
        <w:t>Confidence Level</w:t>
      </w:r>
    </w:p>
    <w:p>
      <w:r>
        <w:t>High</w:t>
      </w:r>
    </w:p>
    <w:p>
      <w:r>
        <w:rPr>
          <w:b/>
        </w:rPr>
        <w:t>Notes</w:t>
      </w:r>
    </w:p>
    <w:p>
      <w:r>
        <w:t>Use-case note: some regions handle large load requests primarily through distribution utility processes, while others create RTO/ISO-level processes (e.g., ERCOT LLIS; SPP HILL/HILLGA). The study set and sequencing depends heavily on whether the load is transmission-connected, distribution-connected, or co-located with generation.</w:t>
      </w:r>
    </w:p>
    <w:p/>
    <w:p>
      <w:r>
        <w:rPr>
          <w:b/>
        </w:rPr>
        <w:t>Question</w:t>
      </w:r>
    </w:p>
    <w:p>
      <w:r>
        <w:t>7. What organizations are involved in the process?</w:t>
      </w:r>
    </w:p>
    <w:p>
      <w:r>
        <w:rPr>
          <w:b/>
        </w:rPr>
        <w:t>Extracted Answer</w:t>
      </w:r>
    </w:p>
    <w:p>
      <w:r>
        <w:t>Typical participants include: (1) the local utility and/or Transmission Owner/Transmission Service Provider (TSP), (2) the regional grid operator (RTO/ISO) where applicable, (3) neighboring/affected utilities or TSPs if the impacts extend beyond one utility’s system, (4) reliability organizations and standards (NERC and regional entities) as part of the criteria used in studies, and (5) state regulators in some jurisdictions, especially when new standards or approvals are required (e.g., net metering / co-location approvals or large-load rules).</w:t>
        <w:br/>
        <w:br/>
        <w:t>In ERCOT specifically, studies are performed by the TSP with ERCOT input and review; other “directly affected TSPs” can participate in review. In SPP’s newer framework, SPP explicitly coordinates transmission service, delivery point studies, and associated generation interconnection (when the load is paired with generation).</w:t>
      </w:r>
    </w:p>
    <w:p>
      <w:r>
        <w:rPr>
          <w:b/>
        </w:rPr>
        <w:t>Source</w:t>
      </w:r>
    </w:p>
    <w:p>
      <w:pPr>
        <w:pStyle w:val="ListBullet"/>
      </w:pPr>
      <w:r>
        <w:t>ERCOT (rev. 12/15/2025), Large Load Interconnection Process Q&amp;A. https://www.ercot.com/files/docs/2025/12/24/Large-Load-Interconnection-Process-Q-A.pdf</w:t>
      </w:r>
    </w:p>
    <w:p>
      <w:pPr>
        <w:pStyle w:val="ListBullet"/>
      </w:pPr>
      <w:r>
        <w:t>SPP, “High Impact Large Load (HILL) Integration” page. https://spp.org/markets-operations/high-impact-large-load-hill-integration/</w:t>
      </w:r>
    </w:p>
    <w:p>
      <w:pPr>
        <w:pStyle w:val="ListBullet"/>
      </w:pPr>
      <w:r>
        <w:t>GridLab (March 2025), “Large Loads Interim Report”. https://gridlab.org/wp-content/uploads/2025/03/GridLab-Report-Large-Loads-Interim-Report.pdf</w:t>
      </w:r>
    </w:p>
    <w:p>
      <w:r>
        <w:rPr>
          <w:b/>
        </w:rPr>
        <w:t>Evidence or Key Passage</w:t>
      </w:r>
    </w:p>
    <w:p>
      <w:pPr>
        <w:pStyle w:val="ListBullet"/>
      </w:pPr>
      <w:r>
        <w:t>ERCOT: kickoff meeting includes “the TSP, ERCOT, and any affected TSPs…” (Q&amp;A, p. 6–7)</w:t>
      </w:r>
    </w:p>
    <w:p>
      <w:pPr>
        <w:pStyle w:val="ListBullet"/>
      </w:pPr>
      <w:r>
        <w:t>ERCOT: “The lead TSP submits… to ERCOT and other directly affected TSPs… ERCOT… [reviews]… Directly affected TSPs also may provide questions…” (Q&amp;A, p. 8–9)</w:t>
      </w:r>
    </w:p>
    <w:p>
      <w:pPr>
        <w:pStyle w:val="ListBullet"/>
      </w:pPr>
      <w:r>
        <w:t>SPP: “integrates transmission service, generator interconnection, and delivery point studies into a single, coordinated framework…” (SPP HILL Integration page)</w:t>
      </w:r>
    </w:p>
    <w:p>
      <w:r>
        <w:rPr>
          <w:b/>
        </w:rPr>
        <w:t>Source Type</w:t>
      </w:r>
    </w:p>
    <w:p>
      <w:pPr>
        <w:pStyle w:val="ListBullet"/>
      </w:pPr>
      <w:r>
        <w:t>ISO/utility documentation (ERCOT)</w:t>
      </w:r>
    </w:p>
    <w:p>
      <w:pPr>
        <w:pStyle w:val="ListBullet"/>
      </w:pPr>
      <w:r>
        <w:t>ISO documentation / stakeholder materials (SPP)</w:t>
      </w:r>
    </w:p>
    <w:p>
      <w:pPr>
        <w:pStyle w:val="ListBullet"/>
      </w:pPr>
      <w:r>
        <w:t>Independent technical/industry report (GridLab)</w:t>
      </w:r>
    </w:p>
    <w:p>
      <w:r>
        <w:rPr>
          <w:b/>
        </w:rPr>
        <w:t>Confidence Level</w:t>
      </w:r>
    </w:p>
    <w:p>
      <w:r>
        <w:t>High</w:t>
      </w:r>
    </w:p>
    <w:p>
      <w:r>
        <w:rPr>
          <w:b/>
        </w:rPr>
        <w:t>Notes</w:t>
      </w:r>
    </w:p>
    <w:p>
      <w:r>
        <w:t>Jurisdiction note: The “grid operator” role varies. In vertically integrated utility territories without an RTO/ISO, the utility (and sometimes a state commission process) may be the primary interface; in RTO/ISO regions, the RTO/ISO often sets study processes and queue rules.</w:t>
      </w:r>
    </w:p>
    <w:p/>
    <w:p>
      <w:r>
        <w:rPr>
          <w:b/>
        </w:rPr>
        <w:t>Question</w:t>
      </w:r>
    </w:p>
    <w:p>
      <w:r>
        <w:t>8. Who within your organization typically interacts with the utility or grid operator?</w:t>
      </w:r>
    </w:p>
    <w:p>
      <w:r>
        <w:rPr>
          <w:b/>
        </w:rPr>
        <w:t>Extracted Answer</w:t>
      </w:r>
    </w:p>
    <w:p>
      <w:r>
        <w:t>Published sources usually describe this at a role level rather than naming specific job titles for data center developers. Commonly, the interface is handled by a mix of:</w:t>
        <w:br/>
        <w:t>• internal power/energy teams (e.g., energy procurement, power engineering, site electrical engineering),</w:t>
        <w:br/>
        <w:t>• project development or real estate teams (site selection and permitting coordination),</w:t>
        <w:br/>
        <w:t>• external consultants (interconnection consultants, power systems engineers), and</w:t>
        <w:br/>
        <w:t>• in some cases, executives or economic development leads for commitments and negotiations.</w:t>
        <w:br/>
        <w:br/>
        <w:t>GridLab’s large load interconnection “practice guide” framing reflects that utilities often request detailed technical inputs (single lines, protection/control settings, models, ramp/energization plans), which typically come from power engineers and/or specialized consultants rather than general real estate teams.</w:t>
      </w:r>
    </w:p>
    <w:p>
      <w:r>
        <w:rPr>
          <w:b/>
        </w:rPr>
        <w:t>Source</w:t>
      </w:r>
    </w:p>
    <w:p>
      <w:pPr>
        <w:pStyle w:val="ListBullet"/>
      </w:pPr>
      <w:r>
        <w:t>GridLab (March 2025), “Large Loads Interim Report”. https://gridlab.org/wp-content/uploads/2025/03/GridLab-Report-Large-Loads-Interim-Report.pdf</w:t>
      </w:r>
    </w:p>
    <w:p>
      <w:pPr>
        <w:pStyle w:val="ListBullet"/>
      </w:pPr>
      <w:r>
        <w:t>Brattle Group / Berkeley Lab (Sept 2025), “Large Loads: Interconnection, Tariff Designs, and State Actions” (notes that processes often appear in tariffs/proceedings and vary by utility/RTO). https://www.brattle.com/wp-content/uploads/2025/09/Large-Loads-Interconnection-Tariff-Designs-and-State-Actions.pdf</w:t>
      </w:r>
    </w:p>
    <w:p>
      <w:r>
        <w:rPr>
          <w:b/>
        </w:rPr>
        <w:t>Evidence or Key Passage</w:t>
      </w:r>
    </w:p>
    <w:p>
      <w:pPr>
        <w:pStyle w:val="ListBullet"/>
      </w:pPr>
      <w:r>
        <w:t>GridLab notes that applications typically include “technical details (e.g., design, diagrams, models, etc.), load ramp-up…” (Large Loads Interim Report, p. 26)</w:t>
      </w:r>
    </w:p>
    <w:p>
      <w:pPr>
        <w:pStyle w:val="ListBullet"/>
      </w:pPr>
      <w:r>
        <w:t>GridLab lists typical information utilities may require, such as “Facility electrical topology and single line diagram” and “Protection and control systems… settings.” (Large Loads Interim Report, p. 50)</w:t>
      </w:r>
    </w:p>
    <w:p>
      <w:r>
        <w:rPr>
          <w:b/>
        </w:rPr>
        <w:t>Source Type</w:t>
      </w:r>
    </w:p>
    <w:p>
      <w:pPr>
        <w:pStyle w:val="ListBullet"/>
      </w:pPr>
      <w:r>
        <w:t>Independent technical/industry report (GridLab)</w:t>
      </w:r>
    </w:p>
    <w:p>
      <w:pPr>
        <w:pStyle w:val="ListBullet"/>
      </w:pPr>
      <w:r>
        <w:t>Conference/industry presentation (Brattle/Berkeley Lab)</w:t>
      </w:r>
    </w:p>
    <w:p>
      <w:r>
        <w:rPr>
          <w:b/>
        </w:rPr>
        <w:t>Confidence Level</w:t>
      </w:r>
    </w:p>
    <w:p>
      <w:r>
        <w:t>Medium</w:t>
      </w:r>
    </w:p>
    <w:p>
      <w:r>
        <w:rPr>
          <w:b/>
        </w:rPr>
        <w:t>Notes</w:t>
      </w:r>
    </w:p>
    <w:p>
      <w:r>
        <w:t>This question is inherently organization-specific; literature is better at describing the types of expertise involved than the exact job titles. In interviews, you may want to probe for whether interconnection interface is centralized (one energy team) vs. decentralized (per-site teams + consultants).</w:t>
      </w:r>
    </w:p>
    <w:p/>
    <w:p>
      <w:r>
        <w:rPr>
          <w:b/>
        </w:rPr>
        <w:t>Question</w:t>
      </w:r>
    </w:p>
    <w:p>
      <w:r>
        <w:t>9. What documents or information do utilities typically request during the interconnection process?</w:t>
      </w:r>
    </w:p>
    <w:p>
      <w:r>
        <w:rPr>
          <w:b/>
        </w:rPr>
        <w:t>Extracted Answer</w:t>
      </w:r>
    </w:p>
    <w:p>
      <w:r>
        <w:t>Across sources, the recurring “utility asks” cluster into: (1) site and schedule information, (2) electrical design/topology, (3) operational characteristics and load ramp/commissioning plans, (4) modeling data needed to run planning studies, and (5) protection/controls and ride-through behavior information for large electronic loads.</w:t>
        <w:br/>
        <w:br/>
        <w:t>For ERCOT large loads, utilities/TSPs are expected to request detailed project information including requested peak demand and requested energization (in-service) date, and (under the formalized process) a preliminary Load Commissioning Plan that specifies increments and timeline to reach peak demand.</w:t>
        <w:br/>
        <w:br/>
        <w:t>GridLab’s compilation of common practice for large loads lists items that typically show up in applications and study data requests: single-line diagrams/topology, protection and control systems/settings, load ramp-up expectations, and models/diagrams needed for impact and facilities studies.</w:t>
      </w:r>
    </w:p>
    <w:p>
      <w:r>
        <w:rPr>
          <w:b/>
        </w:rPr>
        <w:t>Source</w:t>
      </w:r>
    </w:p>
    <w:p>
      <w:pPr>
        <w:pStyle w:val="ListBullet"/>
      </w:pPr>
      <w:r>
        <w:t>ERCOT (rev. 12/15/2025), Large Load Interconnection Process Q&amp;A. https://www.ercot.com/files/docs/2025/12/24/Large-Load-Interconnection-Process-Q-A.pdf</w:t>
      </w:r>
    </w:p>
    <w:p>
      <w:pPr>
        <w:pStyle w:val="ListBullet"/>
      </w:pPr>
      <w:r>
        <w:t>GridLab (March 2025), “Large Loads Interim Report”. https://gridlab.org/wp-content/uploads/2025/03/GridLab-Report-Large-Loads-Interim-Report.pdf</w:t>
      </w:r>
    </w:p>
    <w:p>
      <w:pPr>
        <w:pStyle w:val="ListBullet"/>
      </w:pPr>
      <w:r>
        <w:t>NERC, “Characteristics and Risks of Emerging Large Loads” (Oct 2025). https://www.nerc.com/globalassets/who-we-are/standing-committees/rstc/whitepaper-characteristics-and-risks-of-emerging-large-loads.pdf</w:t>
      </w:r>
    </w:p>
    <w:p>
      <w:r>
        <w:rPr>
          <w:b/>
        </w:rPr>
        <w:t>Evidence or Key Passage</w:t>
      </w:r>
    </w:p>
    <w:p>
      <w:pPr>
        <w:pStyle w:val="ListBullet"/>
      </w:pPr>
      <w:r>
        <w:t>ERCOT: customer can expect the TSP to request “detailed information… including… requested peak demand and requested energization date/in-service date.” (Q&amp;A, p. 5)</w:t>
      </w:r>
    </w:p>
    <w:p>
      <w:pPr>
        <w:pStyle w:val="ListBullet"/>
      </w:pPr>
      <w:r>
        <w:t>ERCOT: provides “greater detail about the information… including providing a preliminary Load Commissioning Plan… [specifying] load increments and timeline…” (Q&amp;A, p. 6)</w:t>
      </w:r>
    </w:p>
    <w:p>
      <w:pPr>
        <w:pStyle w:val="ListBullet"/>
      </w:pPr>
      <w:r>
        <w:t>GridLab: application includes “demand size, location, technical details (e.g., design, diagrams, models, etc.), load ramp-up…” (Large Loads Interim Report, p. 26)</w:t>
      </w:r>
    </w:p>
    <w:p>
      <w:pPr>
        <w:pStyle w:val="ListBullet"/>
      </w:pPr>
      <w:r>
        <w:t>GridLab: typical required info includes “Facility electrical topology and single line diagram” and “Protection and control systems… settings.” (Large Loads Interim Report, p. 50)</w:t>
      </w:r>
    </w:p>
    <w:p>
      <w:r>
        <w:rPr>
          <w:b/>
        </w:rPr>
        <w:t>Source Type</w:t>
      </w:r>
    </w:p>
    <w:p>
      <w:pPr>
        <w:pStyle w:val="ListBullet"/>
      </w:pPr>
      <w:r>
        <w:t>ISO/utility documentation (ERCOT)</w:t>
      </w:r>
    </w:p>
    <w:p>
      <w:pPr>
        <w:pStyle w:val="ListBullet"/>
      </w:pPr>
      <w:r>
        <w:t>Independent technical/industry report (GridLab)</w:t>
      </w:r>
    </w:p>
    <w:p>
      <w:pPr>
        <w:pStyle w:val="ListBullet"/>
      </w:pPr>
      <w:r>
        <w:t>Reliability organization white paper (NERC)</w:t>
      </w:r>
    </w:p>
    <w:p>
      <w:r>
        <w:rPr>
          <w:b/>
        </w:rPr>
        <w:t>Confidence Level</w:t>
      </w:r>
    </w:p>
    <w:p>
      <w:r>
        <w:t>High</w:t>
      </w:r>
    </w:p>
    <w:p>
      <w:r>
        <w:rPr>
          <w:b/>
        </w:rPr>
        <w:t>Notes</w:t>
      </w:r>
    </w:p>
    <w:p>
      <w:r>
        <w:t>Practical note: the request list tends to expand for large power-electronic loads (data centers, crypto) because of ride-through and dynamic behavior concerns; the “commissioning plan” / phased energization requirement is also increasingly common.</w:t>
      </w:r>
    </w:p>
    <w:p/>
    <w:p>
      <w:r>
        <w:rPr>
          <w:b/>
        </w:rPr>
        <w:t>Question</w:t>
      </w:r>
    </w:p>
    <w:p>
      <w:r>
        <w:t>10. What kind of studies are usually required before approval?</w:t>
      </w:r>
    </w:p>
    <w:p>
      <w:r>
        <w:rPr>
          <w:b/>
        </w:rPr>
        <w:t>Extracted Answer</w:t>
      </w:r>
    </w:p>
    <w:p>
      <w:r>
        <w:t>A widely referenced baseline for large-load (end-user) interconnection includes steady-state power flow/thermal and voltage analysis, short-circuit (protection) analysis, and dynamic/transient stability studies. Additional studies may be needed depending on location and technology, including subsynchronous oscillation (SSO), harmonics, power quality/flicker, and electromagnetic transient (EMT) assessments—especially for power-electronic-heavy loads or when there is co-located generation.</w:t>
        <w:br/>
        <w:br/>
        <w:t>In ERCOT’s large load process, required studies include: (1) steady-state analysis, (2) dynamic and transient stability under normal and contingency conditions, and sometimes (3) SSO; under the formalized process, a system protection (short-circuit) analysis is added, and reactive studies may be required for co-located generation arrangements.</w:t>
        <w:br/>
        <w:br/>
        <w:t>GridLab also links these study types to the NERC FAC-002 facility interconnection study expectations (as needed) for steady-state, short-circuit, and dynamics studies under normal and contingency conditions.</w:t>
      </w:r>
    </w:p>
    <w:p>
      <w:r>
        <w:rPr>
          <w:b/>
        </w:rPr>
        <w:t>Source</w:t>
      </w:r>
    </w:p>
    <w:p>
      <w:pPr>
        <w:pStyle w:val="ListBullet"/>
      </w:pPr>
      <w:r>
        <w:t>ERCOT (rev. 12/15/2025), Large Load Interconnection Process Q&amp;A. https://www.ercot.com/files/docs/2025/12/24/Large-Load-Interconnection-Process-Q-A.pdf</w:t>
      </w:r>
    </w:p>
    <w:p>
      <w:pPr>
        <w:pStyle w:val="ListBullet"/>
      </w:pPr>
      <w:r>
        <w:t>GridLab (March 2025), “Large Loads Interim Report”. https://gridlab.org/wp-content/uploads/2025/03/GridLab-Report-Large-Loads-Interim-Report.pdf</w:t>
      </w:r>
    </w:p>
    <w:p>
      <w:r>
        <w:rPr>
          <w:b/>
        </w:rPr>
        <w:t>Evidence or Key Passage</w:t>
      </w:r>
    </w:p>
    <w:p>
      <w:pPr>
        <w:pStyle w:val="ListBullet"/>
      </w:pPr>
      <w:r>
        <w:t>ERCOT: required studies included “(1) a steady-state analysis and (2) dynamic and transient stability studies… [and] a Subsynchronous Oscillation study… was sometimes required.” (Q&amp;A, p. 7)</w:t>
      </w:r>
    </w:p>
    <w:p>
      <w:pPr>
        <w:pStyle w:val="ListBullet"/>
      </w:pPr>
      <w:r>
        <w:t>ERCOT: formalized process adds “system protection (short-circuit) analysis.” (Q&amp;A, p. 7–8)</w:t>
      </w:r>
    </w:p>
    <w:p>
      <w:pPr>
        <w:pStyle w:val="ListBullet"/>
      </w:pPr>
      <w:r>
        <w:t>GridLab (NERC FAC-002 discussion): facility interconnection studies include “Steady-state, short-circuit, and dynamics studies, as necessary… under both normal and contingency conditions.” (Large Loads Interim Report, p. 42)</w:t>
      </w:r>
    </w:p>
    <w:p>
      <w:r>
        <w:rPr>
          <w:b/>
        </w:rPr>
        <w:t>Source Type</w:t>
      </w:r>
    </w:p>
    <w:p>
      <w:pPr>
        <w:pStyle w:val="ListBullet"/>
      </w:pPr>
      <w:r>
        <w:t>ISO/utility documentation (ERCOT)</w:t>
      </w:r>
    </w:p>
    <w:p>
      <w:pPr>
        <w:pStyle w:val="ListBullet"/>
      </w:pPr>
      <w:r>
        <w:t>Independent technical/industry report (GridLab)</w:t>
      </w:r>
    </w:p>
    <w:p>
      <w:r>
        <w:rPr>
          <w:b/>
        </w:rPr>
        <w:t>Confidence Level</w:t>
      </w:r>
    </w:p>
    <w:p>
      <w:r>
        <w:t>High</w:t>
      </w:r>
    </w:p>
    <w:p>
      <w:r>
        <w:rPr>
          <w:b/>
        </w:rPr>
        <w:t>Notes</w:t>
      </w:r>
    </w:p>
    <w:p>
      <w:r>
        <w:t>Study scope varies by interconnection voltage level and whether the service is firm vs. non-firm/curtailable, and whether the load is ‘large electronic’ (power electronics) versus motor-heavy. Expect more dynamic/ride-through scrutiny for data centers than for some traditional industrial loads.</w:t>
      </w:r>
    </w:p>
    <w:p/>
    <w:p>
      <w:r>
        <w:rPr>
          <w:b/>
        </w:rPr>
        <w:t>Question</w:t>
      </w:r>
    </w:p>
    <w:p>
      <w:r>
        <w:t>11. What part of the interconnection process takes the longest?</w:t>
      </w:r>
    </w:p>
    <w:p>
      <w:r>
        <w:rPr>
          <w:b/>
        </w:rPr>
        <w:t>Extracted Answer</w:t>
      </w:r>
    </w:p>
    <w:p>
      <w:r>
        <w:t>The most time-consuming portion is usually not the paperwork itself; it is (a) completing and iterating the engineering studies (especially when assumptions change or re-studies are triggered), and (b) the time to design, permit, procure, and build required transmission and substation upgrades.</w:t>
        <w:br/>
        <w:br/>
        <w:t>GridLab highlights that major grid infrastructure has long lead times (e.g., transmission can take many years), which can dominate project schedules when upgrades are needed. ERCOT’s large-load process also points to re-studies as a common source of delay when other large loads in the same area enter the “must-study” set during an ongoing study/review cycle, changing study outcomes and forcing partial or full restudies.</w:t>
      </w:r>
    </w:p>
    <w:p>
      <w:r>
        <w:rPr>
          <w:b/>
        </w:rPr>
        <w:t>Source</w:t>
      </w:r>
    </w:p>
    <w:p>
      <w:pPr>
        <w:pStyle w:val="ListBullet"/>
      </w:pPr>
      <w:r>
        <w:t>GridLab (March 2025), “Large Loads Interim Report”. https://gridlab.org/wp-content/uploads/2025/03/GridLab-Report-Large-Loads-Interim-Report.pdf</w:t>
      </w:r>
    </w:p>
    <w:p>
      <w:pPr>
        <w:pStyle w:val="ListBullet"/>
      </w:pPr>
      <w:r>
        <w:t>ERCOT (rev. 12/15/2025), Large Load Interconnection Process Q&amp;A. https://www.ercot.com/files/docs/2025/12/24/Large-Load-Interconnection-Process-Q-A.pdf</w:t>
      </w:r>
    </w:p>
    <w:p>
      <w:r>
        <w:rPr>
          <w:b/>
        </w:rPr>
        <w:t>Evidence or Key Passage</w:t>
      </w:r>
    </w:p>
    <w:p>
      <w:pPr>
        <w:pStyle w:val="ListBullet"/>
      </w:pPr>
      <w:r>
        <w:t>GridLab: “Electric transmission infrastructure can take up to a decade to plan, permit, and construct.” (Large Loads Interim Report, p. 7–8)</w:t>
      </w:r>
    </w:p>
    <w:p>
      <w:pPr>
        <w:pStyle w:val="ListBullet"/>
      </w:pPr>
      <w:r>
        <w:t>ERCOT: re-studies are sometimes necessary; “often unavoidable due to the large number of large load projects… [and] inclusion or omission of even a single large load… can significantly change study outcomes.” (Q&amp;A, p. 9)</w:t>
      </w:r>
    </w:p>
    <w:p>
      <w:r>
        <w:rPr>
          <w:b/>
        </w:rPr>
        <w:t>Source Type</w:t>
      </w:r>
    </w:p>
    <w:p>
      <w:pPr>
        <w:pStyle w:val="ListBullet"/>
      </w:pPr>
      <w:r>
        <w:t>Independent technical/industry report (GridLab)</w:t>
      </w:r>
    </w:p>
    <w:p>
      <w:pPr>
        <w:pStyle w:val="ListBullet"/>
      </w:pPr>
      <w:r>
        <w:t>ISO/utility documentation (ERCOT)</w:t>
      </w:r>
    </w:p>
    <w:p>
      <w:r>
        <w:rPr>
          <w:b/>
        </w:rPr>
        <w:t>Confidence Level</w:t>
      </w:r>
    </w:p>
    <w:p>
      <w:r>
        <w:t>Medium</w:t>
      </w:r>
    </w:p>
    <w:p>
      <w:r>
        <w:rPr>
          <w:b/>
        </w:rPr>
        <w:t>Notes</w:t>
      </w:r>
    </w:p>
    <w:p>
      <w:r>
        <w:t>Region-specific note: In some areas, distribution upgrades (substation capacity, feeders) are the bottleneck; in others, transmission upgrades and major equipment lead times dominate. Re-study risk increases when many large projects are moving in parallel within the same electrical area.</w:t>
      </w:r>
    </w:p>
    <w:p/>
    <w:p>
      <w:r>
        <w:rPr>
          <w:b/>
        </w:rPr>
        <w:t>Question</w:t>
      </w:r>
    </w:p>
    <w:p>
      <w:r>
        <w:t>12. On average, how long does it take from initial request to actual grid connection?</w:t>
      </w:r>
    </w:p>
    <w:p>
      <w:r>
        <w:rPr>
          <w:b/>
        </w:rPr>
        <w:t>Extracted Answer</w:t>
      </w:r>
    </w:p>
    <w:p>
      <w:r>
        <w:t>There is no single “average” that applies across the U.S. because large load interconnection is handled differently by each utility and region, and the schedule is dominated by whether major upgrades are required. The literature is consistent on two points:</w:t>
        <w:br/>
        <w:t>• When the needed upgrades are modest and capacity exists, timelines can be closer to 1–2 years (often aligned to data center build schedules).</w:t>
        <w:br/>
        <w:t>• When major transmission upgrades are needed—or when the region has a high volume of competing large load requests—timelines can extend multiple years, and some stakeholders report backlogs of five years or more for fully served, firm connections.</w:t>
        <w:br/>
        <w:br/>
        <w:t>GridLab provides a helpful benchmark comparison: large load facilities can often be constructed in ~1.5–2 years, but generation additions may take 3–5 years and transmission can take up to a decade, which can create a mismatch between customer schedules and grid readiness.</w:t>
        <w:br/>
        <w:br/>
        <w:t>Duke’s Nicholas Institute paper notes that stakeholders report backlogs for connecting large data centers of “at least five years” in some contexts (as an anecdotal but cited signal of the upper bound being observed).</w:t>
      </w:r>
    </w:p>
    <w:p>
      <w:r>
        <w:rPr>
          <w:b/>
        </w:rPr>
        <w:t>Source</w:t>
      </w:r>
    </w:p>
    <w:p>
      <w:pPr>
        <w:pStyle w:val="ListBullet"/>
      </w:pPr>
      <w:r>
        <w:t>GridLab (March 2025), “Large Loads Interim Report”. https://gridlab.org/wp-content/uploads/2025/03/GridLab-Report-Large-Loads-Interim-Report.pdf</w:t>
      </w:r>
    </w:p>
    <w:p>
      <w:pPr>
        <w:pStyle w:val="ListBullet"/>
      </w:pPr>
      <w:r>
        <w:t>Nicholas Institute at Duke University (2025), “How DOE’s Proposed Large Load Interconnection Process Could Unlock Benefits of Load Flexibility” (mentions stakeholder-reported multi-year backlogs). https://nicholasinstitute.duke.edu/sites/default/files/publications/how-does-proposed-large-load-interconnection-process-could-unlock-benefits-load-flexibility.pdf</w:t>
      </w:r>
    </w:p>
    <w:p>
      <w:pPr>
        <w:pStyle w:val="ListBullet"/>
      </w:pPr>
      <w:r>
        <w:t>Brattle Group / Berkeley Lab (Sept 2025), “Large Loads: Interconnection, Tariff Designs, and State Actions” (notes complexity and lack of standardized public processes in many areas). https://www.brattle.com/wp-content/uploads/2025/09/Large-Loads-Interconnection-Tariff-Designs-and-State-Actions.pdf</w:t>
      </w:r>
    </w:p>
    <w:p>
      <w:r>
        <w:rPr>
          <w:b/>
        </w:rPr>
        <w:t>Evidence or Key Passage</w:t>
      </w:r>
    </w:p>
    <w:p>
      <w:pPr>
        <w:pStyle w:val="ListBullet"/>
      </w:pPr>
      <w:r>
        <w:t>GridLab: “While it takes 1.5 to 2 years to build large load facilities like data centers… Electric transmission infrastructure can take up to a decade…” (Large Loads Interim Report, p. 7–8)</w:t>
      </w:r>
    </w:p>
    <w:p>
      <w:pPr>
        <w:pStyle w:val="ListBullet"/>
      </w:pPr>
      <w:r>
        <w:t>Nicholas Institute paper: “according to one utility executive, the backlog for connecting large data centers… is now at least five years.” (paper text excerpt as surfaced in publisher page)</w:t>
      </w:r>
    </w:p>
    <w:p>
      <w:pPr>
        <w:pStyle w:val="ListBullet"/>
      </w:pPr>
      <w:r>
        <w:t>Brattle/Berkeley Lab: “Often, there is not a publicly available description of a standardized process to interconnect a large load…” which contributes to wide variance in timelines. (slides, p. 4)</w:t>
      </w:r>
    </w:p>
    <w:p>
      <w:r>
        <w:rPr>
          <w:b/>
        </w:rPr>
        <w:t>Source Type</w:t>
      </w:r>
    </w:p>
    <w:p>
      <w:pPr>
        <w:pStyle w:val="ListBullet"/>
      </w:pPr>
      <w:r>
        <w:t>Independent technical/industry report (GridLab)</w:t>
      </w:r>
    </w:p>
    <w:p>
      <w:pPr>
        <w:pStyle w:val="ListBullet"/>
      </w:pPr>
      <w:r>
        <w:t>Academic/think-tank policy paper (Duke Nicholas Institute)</w:t>
      </w:r>
    </w:p>
    <w:p>
      <w:pPr>
        <w:pStyle w:val="ListBullet"/>
      </w:pPr>
      <w:r>
        <w:t>Conference/industry presentation (Brattle/Berkeley Lab)</w:t>
      </w:r>
    </w:p>
    <w:p>
      <w:r>
        <w:rPr>
          <w:b/>
        </w:rPr>
        <w:t>Confidence Level</w:t>
      </w:r>
    </w:p>
    <w:p>
      <w:r>
        <w:t>Medium</w:t>
      </w:r>
    </w:p>
    <w:p>
      <w:r>
        <w:rPr>
          <w:b/>
        </w:rPr>
        <w:t>Notes</w:t>
      </w:r>
    </w:p>
    <w:p>
      <w:r>
        <w:t>For interview analysis, it may be more actionable to capture: (a) best-case timeline when no major upgrades are needed, (b) typical timeline when moderate upgrades are needed, and (c) worst-case timeline when major transmission upgrades are triggered or when there is queue congestion.</w:t>
      </w:r>
    </w:p>
    <w:p/>
    <w:p>
      <w:r>
        <w:rPr>
          <w:b/>
        </w:rPr>
        <w:t>Question</w:t>
      </w:r>
    </w:p>
    <w:p>
      <w:r>
        <w:t>13. Are there common points in the process where projects get delayed or stalled?</w:t>
      </w:r>
    </w:p>
    <w:p>
      <w:r>
        <w:rPr>
          <w:b/>
        </w:rPr>
        <w:t>Extracted Answer</w:t>
      </w:r>
    </w:p>
    <w:p>
      <w:r>
        <w:t>The most frequently cited delay points include:</w:t>
        <w:br/>
        <w:t>• Data/modeling gaps: utilities/RTOs may need additional information about load type and dynamic behavior (especially for large electronic loads) and may not proceed without it.</w:t>
        <w:br/>
        <w:t>• Re-studies triggered by changing conditions: other large projects entering the “must-study” set, material changes in the customer’s own project (size, location, timeline, mix of motor vs. power electronic load), or new reliability concerns can force partial/full restudies.</w:t>
        <w:br/>
        <w:t>• Upgrade construction constraints: long lead-time equipment (e.g., transformers), siting/permitting, and transmission construction timelines.</w:t>
        <w:br/>
        <w:t>• New or changing reliability and regulatory requirements: evolving ride-through standards or large-load-specific rules can introduce new compliance steps before energization.</w:t>
        <w:br/>
        <w:br/>
        <w:t>ERCOT’s Q&amp;A explicitly calls out re-studies and evolving voltage/frequency ride-through concerns for large electronic loads as delay drivers. GridLab emphasizes that ad hoc or non-transparent processes and insufficient queue discipline can also create delays and uncertainty.</w:t>
      </w:r>
    </w:p>
    <w:p>
      <w:r>
        <w:rPr>
          <w:b/>
        </w:rPr>
        <w:t>Source</w:t>
      </w:r>
    </w:p>
    <w:p>
      <w:pPr>
        <w:pStyle w:val="ListBullet"/>
      </w:pPr>
      <w:r>
        <w:t>ERCOT (rev. 12/15/2025), Large Load Interconnection Process Q&amp;A. https://www.ercot.com/files/docs/2025/12/24/Large-Load-Interconnection-Process-Q-A.pdf</w:t>
      </w:r>
    </w:p>
    <w:p>
      <w:pPr>
        <w:pStyle w:val="ListBullet"/>
      </w:pPr>
      <w:r>
        <w:t>GridLab (March 2025), “Large Loads Interim Report”. https://gridlab.org/wp-content/uploads/2025/03/GridLab-Report-Large-Loads-Interim-Report.pdf</w:t>
      </w:r>
    </w:p>
    <w:p>
      <w:pPr>
        <w:pStyle w:val="ListBullet"/>
      </w:pPr>
      <w:r>
        <w:t>NERC (Sept 2025), “NERC Alert Level 2 – Large Load Interconnection, Study, Commissioning, and Operations”. https://www.nerc.com/globalassets/programs/bpsa/alerts/2025/nerc-alert-level-2--large-loads.pdf</w:t>
      </w:r>
    </w:p>
    <w:p>
      <w:r>
        <w:rPr>
          <w:b/>
        </w:rPr>
        <w:t>Evidence or Key Passage</w:t>
      </w:r>
    </w:p>
    <w:p>
      <w:pPr>
        <w:pStyle w:val="ListBullet"/>
      </w:pPr>
      <w:r>
        <w:t>ERCOT: material changes (type of load, timeline, POI/SDP, control systems) “may necessitate full or partial re-studies.” (Q&amp;A, p. 6)</w:t>
      </w:r>
    </w:p>
    <w:p>
      <w:pPr>
        <w:pStyle w:val="ListBullet"/>
      </w:pPr>
      <w:r>
        <w:t>ERCOT: re-studies may be needed when another project becomes a “must-study” load during study/review. (Q&amp;A, p. 9)</w:t>
      </w:r>
    </w:p>
    <w:p>
      <w:pPr>
        <w:pStyle w:val="ListBullet"/>
      </w:pPr>
      <w:r>
        <w:t>ERCOT: delays can arise from new reliability risks (e.g., LELs tripping during normal voltage excursions) and proposed ride-through standards that become conditions of energization. (Q&amp;A, p. 13)</w:t>
      </w:r>
    </w:p>
    <w:p>
      <w:pPr>
        <w:pStyle w:val="ListBullet"/>
      </w:pPr>
      <w:r>
        <w:t>GridLab: some utilities “lack a formal process… ad hoc… can lead to… delays… lack of transparency leaves customers uncertain about… expected timelines.” (Large Loads Interim Report, p. 26)</w:t>
      </w:r>
    </w:p>
    <w:p>
      <w:r>
        <w:rPr>
          <w:b/>
        </w:rPr>
        <w:t>Source Type</w:t>
      </w:r>
    </w:p>
    <w:p>
      <w:pPr>
        <w:pStyle w:val="ListBullet"/>
      </w:pPr>
      <w:r>
        <w:t>ISO/utility documentation (ERCOT)</w:t>
      </w:r>
    </w:p>
    <w:p>
      <w:pPr>
        <w:pStyle w:val="ListBullet"/>
      </w:pPr>
      <w:r>
        <w:t>Independent technical/industry report (GridLab)</w:t>
      </w:r>
    </w:p>
    <w:p>
      <w:pPr>
        <w:pStyle w:val="ListBullet"/>
      </w:pPr>
      <w:r>
        <w:t>Reliability organization alert (NERC)</w:t>
      </w:r>
    </w:p>
    <w:p>
      <w:r>
        <w:rPr>
          <w:b/>
        </w:rPr>
        <w:t>Confidence Level</w:t>
      </w:r>
    </w:p>
    <w:p>
      <w:r>
        <w:t>High</w:t>
      </w:r>
    </w:p>
    <w:p>
      <w:r>
        <w:rPr>
          <w:b/>
        </w:rPr>
        <w:t>Notes</w:t>
      </w:r>
    </w:p>
    <w:p>
      <w:r>
        <w:t>Pattern note: many delay drivers are versions of uncertainty—either uncertainty about the load’s electrical behavior (models) or uncertainty about the system conditions (other queued projects) and upgrade timelines (equipment and construction).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