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GridSenpAI Stakeholder Analysis</w:t>
      </w:r>
    </w:p>
    <w:p>
      <w:pPr>
        <w:pStyle w:val="Heading2"/>
      </w:pPr>
      <w:r>
        <w:t>1. Purpose</w:t>
      </w:r>
    </w:p>
    <w:p>
      <w:r>
        <w:t>This document identifies the stakeholders involved in the GridSenpAI system and describes their roles, interests, inputs, and outputs in the system lifecycle. The goal is to ensure that system requirements align with the operational workflows of the parties who provide data to the system, use its outputs, or govern its operation.</w:t>
      </w:r>
    </w:p>
    <w:p>
      <w:pPr>
        <w:pStyle w:val="Heading2"/>
      </w:pPr>
      <w:r>
        <w:t>2. Stakeholder Groups</w:t>
      </w:r>
    </w:p>
    <w:p>
      <w:pPr>
        <w:pStyle w:val="Heading3"/>
      </w:pPr>
      <w:r>
        <w:t>Data Center Electrical Engineers / Project Managers</w:t>
      </w:r>
    </w:p>
    <w:p>
      <w:r>
        <w:t>Role: Provide facility electrical designs, equipment specifications, and operational constraints.</w:t>
      </w:r>
    </w:p>
    <w:p>
      <w:r>
        <w:t>Inputs Provided: One-line diagrams, equipment schedules, commissioning plans, protection settings, topology information.</w:t>
      </w:r>
    </w:p>
    <w:p>
      <w:r>
        <w:t>Outputs Consumed: Validated modeling parameters and follow-up information requests.</w:t>
      </w:r>
    </w:p>
    <w:p>
      <w:pPr>
        <w:pStyle w:val="Heading3"/>
      </w:pPr>
      <w:r>
        <w:t>Transmission Planners (TPs)</w:t>
      </w:r>
    </w:p>
    <w:p>
      <w:r>
        <w:t>Role: Use GridSenpAI outputs to perform grid reliability and interconnection studies.</w:t>
      </w:r>
    </w:p>
    <w:p>
      <w:r>
        <w:t>Inputs Provided: Modeling requirements, study assumptions, parameter validation feedback.</w:t>
      </w:r>
    </w:p>
    <w:p>
      <w:r>
        <w:t>Outputs Consumed: Transmission planning model parameters ready for tools such as PSS/E, PSLF, and PowerWorld.</w:t>
      </w:r>
    </w:p>
    <w:p>
      <w:pPr>
        <w:pStyle w:val="Heading3"/>
      </w:pPr>
      <w:r>
        <w:t>Utilities and ISOs/RTOs</w:t>
      </w:r>
    </w:p>
    <w:p>
      <w:r>
        <w:t>Role: Govern interconnection processes and impose modeling templates or regulatory requirements.</w:t>
      </w:r>
    </w:p>
    <w:p>
      <w:r>
        <w:t>Inputs Provided: Regulatory requirements, interconnection standards, modeling constraints.</w:t>
      </w:r>
    </w:p>
    <w:p>
      <w:r>
        <w:t>Outputs Consumed: Standardized modeling parameter packages compliant with regulatory expectations.</w:t>
      </w:r>
    </w:p>
    <w:p>
      <w:pPr>
        <w:pStyle w:val="Heading3"/>
      </w:pPr>
      <w:r>
        <w:t>GridSenpAI System Administrators</w:t>
      </w:r>
    </w:p>
    <w:p>
      <w:r>
        <w:t>Role: Operate and maintain the GridSenpAI platform.</w:t>
      </w:r>
    </w:p>
    <w:p>
      <w:r>
        <w:t>Inputs Provided: System configuration, document indexing policies, access control policies.</w:t>
      </w:r>
    </w:p>
    <w:p>
      <w:r>
        <w:t>Outputs Consumed: Operational system monitoring, system configuration control, and audit records.</w:t>
      </w:r>
    </w:p>
    <w:p>
      <w:pPr>
        <w:pStyle w:val="Heading3"/>
      </w:pPr>
      <w:r>
        <w:t>Security and Compliance Stakeholders</w:t>
      </w:r>
    </w:p>
    <w:p>
      <w:r>
        <w:t>Role: Ensure the system complies with infrastructure security requirements and data governance policies.</w:t>
      </w:r>
    </w:p>
    <w:p>
      <w:r>
        <w:t>Inputs Provided: Security policies, encryption requirements, data retention rules.</w:t>
      </w:r>
    </w:p>
    <w:p>
      <w:r>
        <w:t>Outputs Consumed: Audit logs, compliance evidence, and secure handling of sensitive engineering documents.</w:t>
      </w:r>
    </w:p>
    <w:p>
      <w:pPr>
        <w:pStyle w:val="Heading2"/>
      </w:pPr>
      <w:r>
        <w:t>3. Stakeholder Influence</w:t>
      </w:r>
    </w:p>
    <w:p>
      <w:r>
        <w:t>Data center engineers and transmission planners have the strongest operational influence because they directly interact with the engineering artifacts and modeling outputs produced by GridSenpAI. Utilities and ISOs influence regulatory compliance requirements. Administrators influence system operation and configuration. Security stakeholders influence system architecture through security and compliance constraints.</w:t>
      </w:r>
    </w:p>
    <w:p>
      <w:pPr>
        <w:pStyle w:val="Heading2"/>
      </w:pPr>
      <w:r>
        <w:t>4. Stakeholder Objectives</w:t>
      </w:r>
    </w:p>
    <w:p>
      <w:r>
        <w:t>Data Center Engineers: Reduce effort required to provide grid modeling inputs.</w:t>
      </w:r>
    </w:p>
    <w:p>
      <w:r>
        <w:t>Transmission Planners: Receive accurate and traceable modeling parameters.</w:t>
      </w:r>
    </w:p>
    <w:p>
      <w:r>
        <w:t>Utilities / ISOs: Ensure interconnection studies use reliable data.</w:t>
      </w:r>
    </w:p>
    <w:p>
      <w:r>
        <w:t>Administrators: Maintain reliable system operation.</w:t>
      </w:r>
    </w:p>
    <w:p>
      <w:r>
        <w:t>Security Stakeholders: Protect sensitive infrastructure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