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GridSenpAI – IBM Watson Native Architecture</w:t>
      </w:r>
    </w:p>
    <w:p>
      <w:r>
        <w:t>This diagram illustrates how the GridSenpAI microservices architecture maps onto the IBM Cloud and Watson ecosystem. The system uses API Connect for entry routing, OpenShift for microservices execution, Watsonx.ai for AI inference, Watson Discovery for retrieval‑augmented generation, and IBM cloud data services for persistence and monitoring.</w:t>
      </w:r>
    </w:p>
    <w:p>
      <w:r>
        <w:drawing>
          <wp:inline xmlns:a="http://schemas.openxmlformats.org/drawingml/2006/main" xmlns:pic="http://schemas.openxmlformats.org/drawingml/2006/picture">
            <wp:extent cx="5943600" cy="3497339"/>
            <wp:docPr id="1" name="Picture 1"/>
            <wp:cNvGraphicFramePr>
              <a:graphicFrameLocks noChangeAspect="1"/>
            </wp:cNvGraphicFramePr>
            <a:graphic>
              <a:graphicData uri="http://schemas.openxmlformats.org/drawingml/2006/picture">
                <pic:pic>
                  <pic:nvPicPr>
                    <pic:cNvPr id="0" name="GridSenpAI_IBM_Watson_Architecture.png"/>
                    <pic:cNvPicPr/>
                  </pic:nvPicPr>
                  <pic:blipFill>
                    <a:blip r:embed="rId9"/>
                    <a:stretch>
                      <a:fillRect/>
                    </a:stretch>
                  </pic:blipFill>
                  <pic:spPr>
                    <a:xfrm>
                      <a:off x="0" y="0"/>
                      <a:ext cx="5943600" cy="349733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