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GridSenpAI Requirements Development Traceability</w:t>
      </w:r>
    </w:p>
    <w:p>
      <w:r>
        <w:t>This document maps the major requirements engineering phases for the GridSenpAI project to the documents and sections where those activities are represented.</w:t>
      </w:r>
    </w:p>
    <w:p>
      <w:pPr>
        <w:pStyle w:val="Heading2"/>
      </w:pPr>
      <w:r>
        <w:t>1. Stakeholder Analysis</w:t>
      </w:r>
    </w:p>
    <w:p>
      <w:r>
        <w:t>Purpose: Identify the stakeholders affected by the system and understand their roles, inputs, and outputs.</w:t>
      </w:r>
    </w:p>
    <w:p>
      <w:r>
        <w:t>Artifacts where this phase is represented:</w:t>
      </w:r>
    </w:p>
    <w:p>
      <w:r>
        <w:t>• GridSenpAI Stakeholder Analysis Document (this document set).</w:t>
      </w:r>
    </w:p>
    <w:p>
      <w:r>
        <w:t>• GridSenpAI Software Requirements Specification (SRS) – Section 1.3 Stakeholders.</w:t>
      </w:r>
    </w:p>
    <w:p>
      <w:r>
        <w:t>Evidence: The SRS identifies the primary stakeholder groups including data center engineers, transmission planners, utilities/ISOs, administrators, and security/compliance personnel.</w:t>
      </w:r>
    </w:p>
    <w:p>
      <w:pPr>
        <w:pStyle w:val="Heading2"/>
      </w:pPr>
      <w:r>
        <w:t>2. Problem Definition</w:t>
      </w:r>
    </w:p>
    <w:p>
      <w:r>
        <w:t>Purpose: Define the operational problem the system is intended to solve.</w:t>
      </w:r>
    </w:p>
    <w:p>
      <w:r>
        <w:t>Artifacts where this phase is represented:</w:t>
      </w:r>
    </w:p>
    <w:p>
      <w:r>
        <w:t>• GridSenpAI Software Requirements Specification – Section 1 Introduction.</w:t>
      </w:r>
    </w:p>
    <w:p>
      <w:r>
        <w:t>• GridSenpAI Software Requirements Specification – Section 2 System Overview.</w:t>
      </w:r>
    </w:p>
    <w:p>
      <w:r>
        <w:t>Evidence: These sections define the problem of translating data center electrical facility design information into transmission planning modeling parameters suitable for grid simulation tools.</w:t>
      </w:r>
    </w:p>
    <w:p>
      <w:pPr>
        <w:pStyle w:val="Heading2"/>
      </w:pPr>
      <w:r>
        <w:t>3. Requirements Elicitation</w:t>
      </w:r>
    </w:p>
    <w:p>
      <w:r>
        <w:t>Purpose: Capture the system behaviors and constraints derived from stakeholder needs and domain knowledge.</w:t>
      </w:r>
    </w:p>
    <w:p>
      <w:r>
        <w:t>Artifacts where this phase is represented:</w:t>
      </w:r>
    </w:p>
    <w:p>
      <w:r>
        <w:t>• GridSenpAI Software Requirements Specification – Section 3 Assumptions and Constraints.</w:t>
      </w:r>
    </w:p>
    <w:p>
      <w:r>
        <w:t>• GridSenpAI Software Requirements Specification – Section 4 Functional Requirements.</w:t>
      </w:r>
    </w:p>
    <w:p>
      <w:r>
        <w:t>• GridSenpAI Software Requirements Specification – Section 5 Non‑Functional Requirements.</w:t>
      </w:r>
    </w:p>
    <w:p>
      <w:r>
        <w:t>Evidence: Functional requirements FR1–FR11 define the capabilities of the system, including document ingestion, entity extraction, modeling parameter generation, scenario generation, and versioning.</w:t>
      </w:r>
    </w:p>
    <w:p>
      <w:pPr>
        <w:pStyle w:val="Heading2"/>
      </w:pPr>
      <w:r>
        <w:t>4. Requirements Specification</w:t>
      </w:r>
    </w:p>
    <w:p>
      <w:r>
        <w:t>Purpose: Consolidate elicited requirements into a formal specification usable by engineers.</w:t>
      </w:r>
    </w:p>
    <w:p>
      <w:r>
        <w:t>Artifact where this phase is represented:</w:t>
      </w:r>
    </w:p>
    <w:p>
      <w:r>
        <w:t>• GridSenpAI Software Requirements Specification (SRS).</w:t>
      </w:r>
    </w:p>
    <w:p>
      <w:r>
        <w:t>Evidence: The SRS provides a structured specification including system scope, functional requirements, non‑functional requirements, architecture context, data schemas, validation workflow, and acceptance criteria.</w:t>
      </w:r>
    </w:p>
    <w:p>
      <w:pPr>
        <w:pStyle w:val="Heading2"/>
      </w:pPr>
      <w:r>
        <w:t>5. Summary</w:t>
      </w:r>
    </w:p>
    <w:p>
      <w:r>
        <w:t>The GridSenpAI project has completed the early requirements engineering phases. Stakeholder analysis, problem definition, requirements elicitation, and requirements specification are represented through the Stakeholder Analysis document and the Software Requirements Specification. These artifacts provide the foundation for the next phase of development: system architecture and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