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GridSenpAI – IBM Cloud Service Mapping</w:t>
      </w:r>
    </w:p>
    <w:p>
      <w:r>
        <w:t>This document maps the logical architecture components defined in the GridSenpAI System Architecture Document (SAD) and Detailed System Design (DSD) to concrete IBM Cloud and Watson platform services.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Logical Architecture Component</w:t>
            </w:r>
          </w:p>
        </w:tc>
        <w:tc>
          <w:tcPr>
            <w:tcW w:type="dxa" w:w="4320"/>
          </w:tcPr>
          <w:p>
            <w:r>
              <w:t>IBM Cloud / Watson Equivalent Service</w:t>
            </w:r>
          </w:p>
        </w:tc>
      </w:tr>
      <w:tr>
        <w:tc>
          <w:tcPr>
            <w:tcW w:type="dxa" w:w="4320"/>
          </w:tcPr>
          <w:p>
            <w:r>
              <w:t>API Gateway / Entry Layer</w:t>
            </w:r>
          </w:p>
        </w:tc>
        <w:tc>
          <w:tcPr>
            <w:tcW w:type="dxa" w:w="4320"/>
          </w:tcPr>
          <w:p>
            <w:r>
              <w:t>IBM API Connect or IBM Cloud API Gateway</w:t>
            </w:r>
          </w:p>
        </w:tc>
      </w:tr>
      <w:tr>
        <w:tc>
          <w:tcPr>
            <w:tcW w:type="dxa" w:w="4320"/>
          </w:tcPr>
          <w:p>
            <w:r>
              <w:t>Microservices Platform</w:t>
            </w:r>
          </w:p>
        </w:tc>
        <w:tc>
          <w:tcPr>
            <w:tcW w:type="dxa" w:w="4320"/>
          </w:tcPr>
          <w:p>
            <w:r>
              <w:t>Red Hat OpenShift on IBM Cloud</w:t>
            </w:r>
          </w:p>
        </w:tc>
      </w:tr>
      <w:tr>
        <w:tc>
          <w:tcPr>
            <w:tcW w:type="dxa" w:w="4320"/>
          </w:tcPr>
          <w:p>
            <w:r>
              <w:t>Document Ingestion Service</w:t>
            </w:r>
          </w:p>
        </w:tc>
        <w:tc>
          <w:tcPr>
            <w:tcW w:type="dxa" w:w="4320"/>
          </w:tcPr>
          <w:p>
            <w:r>
              <w:t>Containerized microservice running on OpenShift</w:t>
            </w:r>
          </w:p>
        </w:tc>
      </w:tr>
      <w:tr>
        <w:tc>
          <w:tcPr>
            <w:tcW w:type="dxa" w:w="4320"/>
          </w:tcPr>
          <w:p>
            <w:r>
              <w:t>Entity Extraction Engine</w:t>
            </w:r>
          </w:p>
        </w:tc>
        <w:tc>
          <w:tcPr>
            <w:tcW w:type="dxa" w:w="4320"/>
          </w:tcPr>
          <w:p>
            <w:r>
              <w:t>Watsonx.ai foundation model inference</w:t>
            </w:r>
          </w:p>
        </w:tc>
      </w:tr>
      <w:tr>
        <w:tc>
          <w:tcPr>
            <w:tcW w:type="dxa" w:w="4320"/>
          </w:tcPr>
          <w:p>
            <w:r>
              <w:t>Normalization Service</w:t>
            </w:r>
          </w:p>
        </w:tc>
        <w:tc>
          <w:tcPr>
            <w:tcW w:type="dxa" w:w="4320"/>
          </w:tcPr>
          <w:p>
            <w:r>
              <w:t>Containerized validation microservice on OpenShift</w:t>
            </w:r>
          </w:p>
        </w:tc>
      </w:tr>
      <w:tr>
        <w:tc>
          <w:tcPr>
            <w:tcW w:type="dxa" w:w="4320"/>
          </w:tcPr>
          <w:p>
            <w:r>
              <w:t>Knowledge Retrieval (RAG)</w:t>
            </w:r>
          </w:p>
        </w:tc>
        <w:tc>
          <w:tcPr>
            <w:tcW w:type="dxa" w:w="4320"/>
          </w:tcPr>
          <w:p>
            <w:r>
              <w:t>Watson Discovery or Watsonx Vector Index</w:t>
            </w:r>
          </w:p>
        </w:tc>
      </w:tr>
      <w:tr>
        <w:tc>
          <w:tcPr>
            <w:tcW w:type="dxa" w:w="4320"/>
          </w:tcPr>
          <w:p>
            <w:r>
              <w:t>Parameter Translation Engine</w:t>
            </w:r>
          </w:p>
        </w:tc>
        <w:tc>
          <w:tcPr>
            <w:tcW w:type="dxa" w:w="4320"/>
          </w:tcPr>
          <w:p>
            <w:r>
              <w:t>Watsonx.ai prompt pipeline</w:t>
            </w:r>
          </w:p>
        </w:tc>
      </w:tr>
      <w:tr>
        <w:tc>
          <w:tcPr>
            <w:tcW w:type="dxa" w:w="4320"/>
          </w:tcPr>
          <w:p>
            <w:r>
              <w:t>Scenario Generation Service</w:t>
            </w:r>
          </w:p>
        </w:tc>
        <w:tc>
          <w:tcPr>
            <w:tcW w:type="dxa" w:w="4320"/>
          </w:tcPr>
          <w:p>
            <w:r>
              <w:t>Containerized microservice using Watsonx.ai outputs</w:t>
            </w:r>
          </w:p>
        </w:tc>
      </w:tr>
      <w:tr>
        <w:tc>
          <w:tcPr>
            <w:tcW w:type="dxa" w:w="4320"/>
          </w:tcPr>
          <w:p>
            <w:r>
              <w:t>Run Management &amp; Versioning</w:t>
            </w:r>
          </w:p>
        </w:tc>
        <w:tc>
          <w:tcPr>
            <w:tcW w:type="dxa" w:w="4320"/>
          </w:tcPr>
          <w:p>
            <w:r>
              <w:t>Db2 on IBM Cloud with microservice API layer</w:t>
            </w:r>
          </w:p>
        </w:tc>
      </w:tr>
      <w:tr>
        <w:tc>
          <w:tcPr>
            <w:tcW w:type="dxa" w:w="4320"/>
          </w:tcPr>
          <w:p>
            <w:r>
              <w:t>Artifact Storage</w:t>
            </w:r>
          </w:p>
        </w:tc>
        <w:tc>
          <w:tcPr>
            <w:tcW w:type="dxa" w:w="4320"/>
          </w:tcPr>
          <w:p>
            <w:r>
              <w:t>IBM Cloud Object Storage</w:t>
            </w:r>
          </w:p>
        </w:tc>
      </w:tr>
      <w:tr>
        <w:tc>
          <w:tcPr>
            <w:tcW w:type="dxa" w:w="4320"/>
          </w:tcPr>
          <w:p>
            <w:r>
              <w:t>Relational Data Store</w:t>
            </w:r>
          </w:p>
        </w:tc>
        <w:tc>
          <w:tcPr>
            <w:tcW w:type="dxa" w:w="4320"/>
          </w:tcPr>
          <w:p>
            <w:r>
              <w:t>Db2 on IBM Cloud</w:t>
            </w:r>
          </w:p>
        </w:tc>
      </w:tr>
      <w:tr>
        <w:tc>
          <w:tcPr>
            <w:tcW w:type="dxa" w:w="4320"/>
          </w:tcPr>
          <w:p>
            <w:r>
              <w:t>Vector / Embedding Storage</w:t>
            </w:r>
          </w:p>
        </w:tc>
        <w:tc>
          <w:tcPr>
            <w:tcW w:type="dxa" w:w="4320"/>
          </w:tcPr>
          <w:p>
            <w:r>
              <w:t>Watson Discovery or Watsonx Vector Index</w:t>
            </w:r>
          </w:p>
        </w:tc>
      </w:tr>
      <w:tr>
        <w:tc>
          <w:tcPr>
            <w:tcW w:type="dxa" w:w="4320"/>
          </w:tcPr>
          <w:p>
            <w:r>
              <w:t>Identity &amp; Access Management</w:t>
            </w:r>
          </w:p>
        </w:tc>
        <w:tc>
          <w:tcPr>
            <w:tcW w:type="dxa" w:w="4320"/>
          </w:tcPr>
          <w:p>
            <w:r>
              <w:t>IBM Cloud IAM</w:t>
            </w:r>
          </w:p>
        </w:tc>
      </w:tr>
      <w:tr>
        <w:tc>
          <w:tcPr>
            <w:tcW w:type="dxa" w:w="4320"/>
          </w:tcPr>
          <w:p>
            <w:r>
              <w:t>Event Streaming (optional)</w:t>
            </w:r>
          </w:p>
        </w:tc>
        <w:tc>
          <w:tcPr>
            <w:tcW w:type="dxa" w:w="4320"/>
          </w:tcPr>
          <w:p>
            <w:r>
              <w:t>IBM Event Streams (Kafka)</w:t>
            </w:r>
          </w:p>
        </w:tc>
      </w:tr>
      <w:tr>
        <w:tc>
          <w:tcPr>
            <w:tcW w:type="dxa" w:w="4320"/>
          </w:tcPr>
          <w:p>
            <w:r>
              <w:t>Monitoring &amp; Observability</w:t>
            </w:r>
          </w:p>
        </w:tc>
        <w:tc>
          <w:tcPr>
            <w:tcW w:type="dxa" w:w="4320"/>
          </w:tcPr>
          <w:p>
            <w:r>
              <w:t>IBM Cloud Monitoring, Log Analysis, Instana</w:t>
            </w:r>
          </w:p>
        </w:tc>
      </w:tr>
      <w:tr>
        <w:tc>
          <w:tcPr>
            <w:tcW w:type="dxa" w:w="4320"/>
          </w:tcPr>
          <w:p>
            <w:r>
              <w:t>AI Governance &amp; Model Auditing</w:t>
            </w:r>
          </w:p>
        </w:tc>
        <w:tc>
          <w:tcPr>
            <w:tcW w:type="dxa" w:w="4320"/>
          </w:tcPr>
          <w:p>
            <w:r>
              <w:t>Watsonx.governance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