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GridSenpAI</w:t>
        <w:br/>
        <w:t>Test Plan &amp; Verification Design (TPVD)</w:t>
        <w:br/>
        <w:t>(Prototype-Scoped)</w:t>
      </w:r>
    </w:p>
    <w:p>
      <w:pPr>
        <w:jc w:val="center"/>
      </w:pPr>
      <w:r>
        <w:rPr>
          <w:b/>
        </w:rPr>
        <w:t>Version: 1.0</w:t>
        <w:br/>
      </w:r>
      <w:r>
        <w:t>Date: March 05, 2026</w:t>
        <w:br/>
      </w:r>
      <w:r>
        <w:t>Scope: Prototype vertical slice verification aligned to SRS + RTM + DSD/ DCD</w:t>
      </w:r>
    </w:p>
    <w:p>
      <w:r>
        <w:br w:type="page"/>
      </w:r>
    </w:p>
    <w:p>
      <w:pPr>
        <w:pStyle w:val="Heading1"/>
      </w:pPr>
      <w:r>
        <w:t>1. Purpose</w:t>
      </w:r>
    </w:p>
    <w:p>
      <w:r>
        <w:t>This TPVD defines the verification strategy and test cases for the GridSenpAI prototype implementation. It is intentionally constrained to the prototype vertical slice so implementation can proceed without scope drift, while still proving end-to-end requirements traceability and testability.</w:t>
      </w:r>
    </w:p>
    <w:p>
      <w:pPr>
        <w:pStyle w:val="Heading1"/>
      </w:pPr>
      <w:r>
        <w:t>2. References</w:t>
      </w:r>
    </w:p>
    <w:p>
      <w:pPr>
        <w:pStyle w:val="ListBullet"/>
      </w:pPr>
      <w:r>
        <w:t>GridSenpAI Software Requirements Specification (SRS)</w:t>
      </w:r>
    </w:p>
    <w:p>
      <w:pPr>
        <w:pStyle w:val="ListBullet"/>
      </w:pPr>
      <w:r>
        <w:t>GridSenpAI Requirements Traceability Matrix (RTM)</w:t>
      </w:r>
    </w:p>
    <w:p>
      <w:pPr>
        <w:pStyle w:val="ListBullet"/>
      </w:pPr>
      <w:r>
        <w:t>GridSenpAI Detailed System Design (DSD) with embedded Detailed Component Design (DCD)</w:t>
      </w:r>
    </w:p>
    <w:p>
      <w:pPr>
        <w:pStyle w:val="Heading1"/>
      </w:pPr>
      <w:r>
        <w:t>3. Prototype Verification Scope</w:t>
      </w:r>
    </w:p>
    <w:p>
      <w:pPr>
        <w:pStyle w:val="Heading2"/>
      </w:pPr>
      <w:r>
        <w:t>3.1 In Scope (Prototype)</w:t>
      </w:r>
    </w:p>
    <w:p>
      <w:pPr>
        <w:pStyle w:val="ListBullet"/>
      </w:pPr>
      <w:r>
        <w:t>FR1–FR10 verification at a functional level for a single representative submission set (artifacts → export).</w:t>
      </w:r>
    </w:p>
    <w:p>
      <w:pPr>
        <w:pStyle w:val="ListBullet"/>
      </w:pPr>
      <w:r>
        <w:t>NFR1–NFR5 and NFR8 verification at a baseline level (access control, encryption posture checks, audit logging, traceability, reproducibility, retention policy configuration).</w:t>
      </w:r>
    </w:p>
    <w:p>
      <w:pPr>
        <w:pStyle w:val="ListBullet"/>
      </w:pPr>
      <w:r>
        <w:t>A single end-to-end run including ingestion, extraction, normalization, retrieval, translation, scenario generation, packaging, and export.</w:t>
      </w:r>
    </w:p>
    <w:p>
      <w:pPr>
        <w:pStyle w:val="ListBullet"/>
      </w:pPr>
      <w:r>
        <w:t>Re-run/versioning with changelog generation for one updated artifact or answered follow-up question set.</w:t>
      </w:r>
    </w:p>
    <w:p>
      <w:pPr>
        <w:pStyle w:val="Heading2"/>
      </w:pPr>
      <w:r>
        <w:t>3.2 Out of Scope (Prototype)</w:t>
      </w:r>
    </w:p>
    <w:p>
      <w:pPr>
        <w:pStyle w:val="ListBullet"/>
      </w:pPr>
      <w:r>
        <w:t>FR11 full calibration workflow using real telemetry datasets (may be stubbed or validated as an interface-only check).</w:t>
      </w:r>
    </w:p>
    <w:p>
      <w:pPr>
        <w:pStyle w:val="ListBullet"/>
      </w:pPr>
      <w:r>
        <w:t>NFR6 performance under full production load (prototype can collect baseline timing only).</w:t>
      </w:r>
    </w:p>
    <w:p>
      <w:pPr>
        <w:pStyle w:val="ListBullet"/>
      </w:pPr>
      <w:r>
        <w:t>NFR7 high availability failover simulation (prototype can validate deployment readiness only).</w:t>
      </w:r>
    </w:p>
    <w:p>
      <w:pPr>
        <w:pStyle w:val="ListBullet"/>
      </w:pPr>
      <w:r>
        <w:t>Direct simulator plug-in integrations (explicitly out of scope in SRS initial release).</w:t>
      </w:r>
    </w:p>
    <w:p>
      <w:pPr>
        <w:pStyle w:val="Heading1"/>
      </w:pPr>
      <w:r>
        <w:t>4. Verification Strategy</w:t>
      </w:r>
    </w:p>
    <w:p>
      <w:r>
        <w:t>Verification uses layered testing: unit tests for deterministic logic and schema validation, integration tests for service-to-service contracts, system tests for end-to-end pipeline execution, and security/audit tests for controls.</w:t>
      </w:r>
    </w:p>
    <w:p>
      <w:pPr>
        <w:pStyle w:val="Heading2"/>
      </w:pPr>
      <w:r>
        <w:t>4.1 Test Levels</w:t>
      </w:r>
    </w:p>
    <w:p>
      <w:r>
        <w:rPr>
          <w:b/>
        </w:rPr>
        <w:t xml:space="preserve">Unit: </w:t>
      </w:r>
      <w:r>
        <w:t>Rule engine, unit conversion, schema validation, provenance attachment, diff logic.</w:t>
      </w:r>
    </w:p>
    <w:p>
      <w:r>
        <w:rPr>
          <w:b/>
        </w:rPr>
        <w:t xml:space="preserve">Integration: </w:t>
      </w:r>
      <w:r>
        <w:t>Ingestion→indexing, Normalization→Retrieval, Retrieval→Translation, Packaging→Storage.</w:t>
      </w:r>
    </w:p>
    <w:p>
      <w:r>
        <w:rPr>
          <w:b/>
        </w:rPr>
        <w:t xml:space="preserve">System (E2E): </w:t>
      </w:r>
      <w:r>
        <w:t>One complete run from artifact upload through export packet generation.</w:t>
      </w:r>
    </w:p>
    <w:p>
      <w:r>
        <w:rPr>
          <w:b/>
        </w:rPr>
        <w:t xml:space="preserve">Security/Audit: </w:t>
      </w:r>
      <w:r>
        <w:t>RBAC enforcement, encryption posture checks, audit event completeness.</w:t>
      </w:r>
    </w:p>
    <w:p>
      <w:r>
        <w:rPr>
          <w:b/>
        </w:rPr>
        <w:t xml:space="preserve">Regression/Repro: </w:t>
      </w:r>
      <w:r>
        <w:t>Repeat run with pinned config and identical inputs; compare output hashes.</w:t>
      </w:r>
    </w:p>
    <w:p>
      <w:pPr>
        <w:pStyle w:val="Heading1"/>
      </w:pPr>
      <w:r>
        <w:t>5. Test Environment (Prototype)</w:t>
      </w:r>
    </w:p>
    <w:p>
      <w:pPr>
        <w:pStyle w:val="ListBullet"/>
      </w:pPr>
      <w:r>
        <w:t>Deployment: OpenShift (dev namespace) with containerized services per DSD service decomposition.</w:t>
      </w:r>
    </w:p>
    <w:p>
      <w:pPr>
        <w:pStyle w:val="ListBullet"/>
      </w:pPr>
      <w:r>
        <w:t>Identity: IBM Cloud IAM (or mocked IAM token validation for dev), with project-scoped roles (Engineer/Planner/Admin/Auditor).</w:t>
      </w:r>
    </w:p>
    <w:p>
      <w:pPr>
        <w:pStyle w:val="ListBullet"/>
      </w:pPr>
      <w:r>
        <w:t>Storage: IBM Cloud Object Storage bucket for artifacts/exports; Db2 (or PostgreSQL) for structured run records.</w:t>
      </w:r>
    </w:p>
    <w:p>
      <w:pPr>
        <w:pStyle w:val="ListBullet"/>
      </w:pPr>
      <w:r>
        <w:t>Retrieval: Watson Discovery (or Watsonx Vector Index) with a small seeded corpus; stable snippet IDs must be returned.</w:t>
      </w:r>
    </w:p>
    <w:p>
      <w:pPr>
        <w:pStyle w:val="ListBullet"/>
      </w:pPr>
      <w:r>
        <w:t>LLM: Watsonx.ai for structured extraction and translation prompts (prompt versions pinned).</w:t>
      </w:r>
    </w:p>
    <w:p>
      <w:pPr>
        <w:pStyle w:val="ListBullet"/>
      </w:pPr>
      <w:r>
        <w:t>Observability: central logs with run_id correlation; minimal audit trail persisted.</w:t>
      </w:r>
    </w:p>
    <w:p>
      <w:pPr>
        <w:pStyle w:val="Heading1"/>
      </w:pPr>
      <w:r>
        <w:t>6. Test Data Plan</w:t>
      </w:r>
    </w:p>
    <w:p>
      <w:r>
        <w:t>Prototype tests use a controlled submission set designed to exercise the full pipeline while remaining small enough to debug quickly. The set should include at least: (1) a one-line diagram PDF, (2) an equipment schedule/spec PDF, and optionally (3) a commissioning constraints document to trigger follow-up questions.</w:t>
      </w:r>
    </w:p>
    <w:p>
      <w:r>
        <w:rPr>
          <w:b/>
        </w:rPr>
        <w:t>Evidence corpora (seeded):</w:t>
      </w:r>
    </w:p>
    <w:p>
      <w:pPr>
        <w:pStyle w:val="ListBullet"/>
      </w:pPr>
      <w:r>
        <w:t>Vendor spec corpus: UPS + transformer + switchgear (small curated subset).</w:t>
      </w:r>
    </w:p>
    <w:p>
      <w:pPr>
        <w:pStyle w:val="ListBullet"/>
      </w:pPr>
      <w:r>
        <w:t>Modeling reference corpus: a small set of modeling guidance and ISO template excerpts.</w:t>
      </w:r>
    </w:p>
    <w:p>
      <w:pPr>
        <w:pStyle w:val="Heading1"/>
      </w:pPr>
      <w:r>
        <w:t>7. Entry/Exit Criteria</w:t>
      </w:r>
    </w:p>
    <w:p>
      <w:pPr>
        <w:pStyle w:val="Heading2"/>
      </w:pPr>
      <w:r>
        <w:t>7.1 Entry Criteria</w:t>
      </w:r>
    </w:p>
    <w:p>
      <w:pPr>
        <w:pStyle w:val="ListBullet"/>
      </w:pPr>
      <w:r>
        <w:t>SRS, RTM, DSD/DCD are baselined and versioned.</w:t>
      </w:r>
    </w:p>
    <w:p>
      <w:pPr>
        <w:pStyle w:val="ListBullet"/>
      </w:pPr>
      <w:r>
        <w:t>Input/output canonical schemas are available and validate.</w:t>
      </w:r>
    </w:p>
    <w:p>
      <w:pPr>
        <w:pStyle w:val="ListBullet"/>
      </w:pPr>
      <w:r>
        <w:t>Prototype deployment environment is reachable and services can start.</w:t>
      </w:r>
    </w:p>
    <w:p>
      <w:pPr>
        <w:pStyle w:val="ListBullet"/>
      </w:pPr>
      <w:r>
        <w:t>Seeded corpora are indexed and retrievable (smoke test returns snippet_id).</w:t>
      </w:r>
    </w:p>
    <w:p>
      <w:pPr>
        <w:pStyle w:val="Heading2"/>
      </w:pPr>
      <w:r>
        <w:t>7.2 Exit Criteria (Prototype Complete)</w:t>
      </w:r>
    </w:p>
    <w:p>
      <w:pPr>
        <w:pStyle w:val="ListBullet"/>
      </w:pPr>
      <w:r>
        <w:t>One end-to-end run produces a schema-valid export packet (JSON + report) with provenance on every exported parameter.</w:t>
      </w:r>
    </w:p>
    <w:p>
      <w:pPr>
        <w:pStyle w:val="ListBullet"/>
      </w:pPr>
      <w:r>
        <w:t>At least one re-run produces a new version label and a changelog/diff artifact.</w:t>
      </w:r>
    </w:p>
    <w:p>
      <w:pPr>
        <w:pStyle w:val="ListBullet"/>
      </w:pPr>
      <w:r>
        <w:t>Security baseline checks pass (RBAC, audit logs, encryption posture).</w:t>
      </w:r>
    </w:p>
    <w:p>
      <w:pPr>
        <w:pStyle w:val="ListBullet"/>
      </w:pPr>
      <w:r>
        <w:t>Reproducibility check: identical inputs + pinned config yields identical output hashes (or documented tolerance where applicable).</w:t>
      </w:r>
    </w:p>
    <w:p>
      <w:pPr>
        <w:pStyle w:val="Heading1"/>
      </w:pPr>
      <w:r>
        <w:t>8. Requirement-to-Test Coverage (Prototype)</w:t>
      </w:r>
    </w:p>
    <w:p>
      <w:r>
        <w:t>The table below provides prototype-scoped test cases aligned to RTM requirement IDs and verification methods defined in the RTM.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Case ID</w:t>
            </w:r>
          </w:p>
        </w:tc>
        <w:tc>
          <w:tcPr>
            <w:tcW w:type="dxa" w:w="1440"/>
          </w:tcPr>
          <w:p>
            <w:r>
              <w:t>RTM Req ID</w:t>
            </w:r>
          </w:p>
        </w:tc>
        <w:tc>
          <w:tcPr>
            <w:tcW w:type="dxa" w:w="1440"/>
          </w:tcPr>
          <w:p>
            <w:r>
              <w:t>Verification Type</w:t>
            </w:r>
          </w:p>
        </w:tc>
        <w:tc>
          <w:tcPr>
            <w:tcW w:type="dxa" w:w="1440"/>
          </w:tcPr>
          <w:p>
            <w:r>
              <w:t>Test Objective</w:t>
            </w:r>
          </w:p>
        </w:tc>
        <w:tc>
          <w:tcPr>
            <w:tcW w:type="dxa" w:w="1440"/>
          </w:tcPr>
          <w:p>
            <w:r>
              <w:t>Procedure Summary</w:t>
            </w:r>
          </w:p>
        </w:tc>
        <w:tc>
          <w:tcPr>
            <w:tcW w:type="dxa" w:w="1440"/>
          </w:tcPr>
          <w:p>
            <w:r>
              <w:t>Pass Criteria</w:t>
            </w:r>
          </w:p>
        </w:tc>
      </w:tr>
      <w:tr>
        <w:tc>
          <w:tcPr>
            <w:tcW w:type="dxa" w:w="1440"/>
          </w:tcPr>
          <w:p>
            <w:r>
              <w:t>TC-FR1-INGEST</w:t>
            </w:r>
          </w:p>
        </w:tc>
        <w:tc>
          <w:tcPr>
            <w:tcW w:type="dxa" w:w="1440"/>
          </w:tcPr>
          <w:p>
            <w:r>
              <w:t>FR1</w:t>
            </w:r>
          </w:p>
        </w:tc>
        <w:tc>
          <w:tcPr>
            <w:tcW w:type="dxa" w:w="1440"/>
          </w:tcPr>
          <w:p>
            <w:r>
              <w:t>Integration</w:t>
            </w:r>
          </w:p>
        </w:tc>
        <w:tc>
          <w:tcPr>
            <w:tcW w:type="dxa" w:w="1440"/>
          </w:tcPr>
          <w:p>
            <w:r>
              <w:t>Ingest facility artifacts and confirm indexing</w:t>
            </w:r>
          </w:p>
        </w:tc>
        <w:tc>
          <w:tcPr>
            <w:tcW w:type="dxa" w:w="1440"/>
          </w:tcPr>
          <w:p>
            <w:r>
              <w:t>Upload representative artifacts → verify artifact records created, storage_uri stored, and indexing status = success.</w:t>
            </w:r>
          </w:p>
        </w:tc>
        <w:tc>
          <w:tcPr>
            <w:tcW w:type="dxa" w:w="1440"/>
          </w:tcPr>
          <w:p>
            <w:r>
              <w:t>Artifacts retrievable by project; ingestion status transitioned; index has records/chunks.</w:t>
            </w:r>
          </w:p>
        </w:tc>
      </w:tr>
      <w:tr>
        <w:tc>
          <w:tcPr>
            <w:tcW w:type="dxa" w:w="1440"/>
          </w:tcPr>
          <w:p>
            <w:r>
              <w:t>TC-FR2-EXTRACT</w:t>
            </w:r>
          </w:p>
        </w:tc>
        <w:tc>
          <w:tcPr>
            <w:tcW w:type="dxa" w:w="1440"/>
          </w:tcPr>
          <w:p>
            <w:r>
              <w:t>FR2</w:t>
            </w:r>
          </w:p>
        </w:tc>
        <w:tc>
          <w:tcPr>
            <w:tcW w:type="dxa" w:w="1440"/>
          </w:tcPr>
          <w:p>
            <w:r>
              <w:t>Unit+Integration</w:t>
            </w:r>
          </w:p>
        </w:tc>
        <w:tc>
          <w:tcPr>
            <w:tcW w:type="dxa" w:w="1440"/>
          </w:tcPr>
          <w:p>
            <w:r>
              <w:t>Extract structured entities and topology cues</w:t>
            </w:r>
          </w:p>
        </w:tc>
        <w:tc>
          <w:tcPr>
            <w:tcW w:type="dxa" w:w="1440"/>
          </w:tcPr>
          <w:p>
            <w:r>
              <w:t>Run extraction on ingested artifacts → verify equipment entities (type, ratings) and topology cues exist with source anchors.</w:t>
            </w:r>
          </w:p>
        </w:tc>
        <w:tc>
          <w:tcPr>
            <w:tcW w:type="dxa" w:w="1440"/>
          </w:tcPr>
          <w:p>
            <w:r>
              <w:t>ExtractionResult persisted; entities contain required fields; anchors reference artifact/page.</w:t>
            </w:r>
          </w:p>
        </w:tc>
      </w:tr>
      <w:tr>
        <w:tc>
          <w:tcPr>
            <w:tcW w:type="dxa" w:w="1440"/>
          </w:tcPr>
          <w:p>
            <w:r>
              <w:t>TC-FR3-RAG</w:t>
            </w:r>
          </w:p>
        </w:tc>
        <w:tc>
          <w:tcPr>
            <w:tcW w:type="dxa" w:w="1440"/>
          </w:tcPr>
          <w:p>
            <w:r>
              <w:t>FR3</w:t>
            </w:r>
          </w:p>
        </w:tc>
        <w:tc>
          <w:tcPr>
            <w:tcW w:type="dxa" w:w="1440"/>
          </w:tcPr>
          <w:p>
            <w:r>
              <w:t>Integration</w:t>
            </w:r>
          </w:p>
        </w:tc>
        <w:tc>
          <w:tcPr>
            <w:tcW w:type="dxa" w:w="1440"/>
          </w:tcPr>
          <w:p>
            <w:r>
              <w:t>Retrieve vendor specs/modeling references with snippet IDs</w:t>
            </w:r>
          </w:p>
        </w:tc>
        <w:tc>
          <w:tcPr>
            <w:tcW w:type="dxa" w:w="1440"/>
          </w:tcPr>
          <w:p>
            <w:r>
              <w:t>Invoke retrieval using normalized equipment inventory → verify EvidenceBundle includes snippet_id + source_ref pointers.</w:t>
            </w:r>
          </w:p>
        </w:tc>
        <w:tc>
          <w:tcPr>
            <w:tcW w:type="dxa" w:w="1440"/>
          </w:tcPr>
          <w:p>
            <w:r>
              <w:t>EvidenceBundle persisted; top-k snippets returned; snippet_id stable and non-null.</w:t>
            </w:r>
          </w:p>
        </w:tc>
      </w:tr>
      <w:tr>
        <w:tc>
          <w:tcPr>
            <w:tcW w:type="dxa" w:w="1440"/>
          </w:tcPr>
          <w:p>
            <w:r>
              <w:t>TC-FR4-NORM</w:t>
            </w:r>
          </w:p>
        </w:tc>
        <w:tc>
          <w:tcPr>
            <w:tcW w:type="dxa" w:w="1440"/>
          </w:tcPr>
          <w:p>
            <w:r>
              <w:t>FR4</w:t>
            </w:r>
          </w:p>
        </w:tc>
        <w:tc>
          <w:tcPr>
            <w:tcW w:type="dxa" w:w="1440"/>
          </w:tcPr>
          <w:p>
            <w:r>
              <w:t>Unit</w:t>
            </w:r>
          </w:p>
        </w:tc>
        <w:tc>
          <w:tcPr>
            <w:tcW w:type="dxa" w:w="1440"/>
          </w:tcPr>
          <w:p>
            <w:r>
              <w:t>Normalize extracted inputs into canonical input schema</w:t>
            </w:r>
          </w:p>
        </w:tc>
        <w:tc>
          <w:tcPr>
            <w:tcW w:type="dxa" w:w="1440"/>
          </w:tcPr>
          <w:p>
            <w:r>
              <w:t>Normalize ExtractionResult → validate output conforms to GridSenpAI_inputs_schema.json; produce missing-fields list if needed.</w:t>
            </w:r>
          </w:p>
        </w:tc>
        <w:tc>
          <w:tcPr>
            <w:tcW w:type="dxa" w:w="1440"/>
          </w:tcPr>
          <w:p>
            <w:r>
              <w:t>NormalizedInput schema-valid; ValidationReport produced; field paths correct.</w:t>
            </w:r>
          </w:p>
        </w:tc>
      </w:tr>
      <w:tr>
        <w:tc>
          <w:tcPr>
            <w:tcW w:type="dxa" w:w="1440"/>
          </w:tcPr>
          <w:p>
            <w:r>
              <w:t>TC-FR5-TRANSLATE</w:t>
            </w:r>
          </w:p>
        </w:tc>
        <w:tc>
          <w:tcPr>
            <w:tcW w:type="dxa" w:w="1440"/>
          </w:tcPr>
          <w:p>
            <w:r>
              <w:t>FR5</w:t>
            </w:r>
          </w:p>
        </w:tc>
        <w:tc>
          <w:tcPr>
            <w:tcW w:type="dxa" w:w="1440"/>
          </w:tcPr>
          <w:p>
            <w:r>
              <w:t>System</w:t>
            </w:r>
          </w:p>
        </w:tc>
        <w:tc>
          <w:tcPr>
            <w:tcW w:type="dxa" w:w="1440"/>
          </w:tcPr>
          <w:p>
            <w:r>
              <w:t>Generate planner-ready parameters aligned to output schema</w:t>
            </w:r>
          </w:p>
        </w:tc>
        <w:tc>
          <w:tcPr>
            <w:tcW w:type="dxa" w:w="1440"/>
          </w:tcPr>
          <w:p>
            <w:r>
              <w:t>Run translation using NormalizedInput + EvidenceBundle → produce outputs per GridSenpAI_outputs_schema.json.</w:t>
            </w:r>
          </w:p>
        </w:tc>
        <w:tc>
          <w:tcPr>
            <w:tcW w:type="dxa" w:w="1440"/>
          </w:tcPr>
          <w:p>
            <w:r>
              <w:t>ModelOutputs schema-valid; key parameters produced (at least P/Q/PF + ZIP placeholders).</w:t>
            </w:r>
          </w:p>
        </w:tc>
      </w:tr>
      <w:tr>
        <w:tc>
          <w:tcPr>
            <w:tcW w:type="dxa" w:w="1440"/>
          </w:tcPr>
          <w:p>
            <w:r>
              <w:t>TC-FR6-PROV</w:t>
            </w:r>
          </w:p>
        </w:tc>
        <w:tc>
          <w:tcPr>
            <w:tcW w:type="dxa" w:w="1440"/>
          </w:tcPr>
          <w:p>
            <w:r>
              <w:t>FR6</w:t>
            </w:r>
          </w:p>
        </w:tc>
        <w:tc>
          <w:tcPr>
            <w:tcW w:type="dxa" w:w="1440"/>
          </w:tcPr>
          <w:p>
            <w:r>
              <w:t>System</w:t>
            </w:r>
          </w:p>
        </w:tc>
        <w:tc>
          <w:tcPr>
            <w:tcW w:type="dxa" w:w="1440"/>
          </w:tcPr>
          <w:p>
            <w:r>
              <w:t>Ensure modeling packet includes assumptions, confidence tags, and citations</w:t>
            </w:r>
          </w:p>
        </w:tc>
        <w:tc>
          <w:tcPr>
            <w:tcW w:type="dxa" w:w="1440"/>
          </w:tcPr>
          <w:p>
            <w:r>
              <w:t>Generate modeling packet and inspect OutputParameter records for provenance and confidence.</w:t>
            </w:r>
          </w:p>
        </w:tc>
        <w:tc>
          <w:tcPr>
            <w:tcW w:type="dxa" w:w="1440"/>
          </w:tcPr>
          <w:p>
            <w:r>
              <w:t>Every exported parameter has provenance (snippet_id or rule_id or assumption_id) and confidence tag.</w:t>
            </w:r>
          </w:p>
        </w:tc>
      </w:tr>
      <w:tr>
        <w:tc>
          <w:tcPr>
            <w:tcW w:type="dxa" w:w="1440"/>
          </w:tcPr>
          <w:p>
            <w:r>
              <w:t>TC-FR7-SCEN</w:t>
            </w:r>
          </w:p>
        </w:tc>
        <w:tc>
          <w:tcPr>
            <w:tcW w:type="dxa" w:w="1440"/>
          </w:tcPr>
          <w:p>
            <w:r>
              <w:t>FR7</w:t>
            </w:r>
          </w:p>
        </w:tc>
        <w:tc>
          <w:tcPr>
            <w:tcW w:type="dxa" w:w="1440"/>
          </w:tcPr>
          <w:p>
            <w:r>
              <w:t>System</w:t>
            </w:r>
          </w:p>
        </w:tc>
        <w:tc>
          <w:tcPr>
            <w:tcW w:type="dxa" w:w="1440"/>
          </w:tcPr>
          <w:p>
            <w:r>
              <w:t>Generate Typical/Conservative/Best-case scenarios</w:t>
            </w:r>
          </w:p>
        </w:tc>
        <w:tc>
          <w:tcPr>
            <w:tcW w:type="dxa" w:w="1440"/>
          </w:tcPr>
          <w:p>
            <w:r>
              <w:t>Invoke scenario generation → verify three scenario variants exist and are labeled with bounds/rationale metadata.</w:t>
            </w:r>
          </w:p>
        </w:tc>
        <w:tc>
          <w:tcPr>
            <w:tcW w:type="dxa" w:w="1440"/>
          </w:tcPr>
          <w:p>
            <w:r>
              <w:t>ScenarioSet contains 3 variants; conservative not more optimistic than typical for risk-sensitive params.</w:t>
            </w:r>
          </w:p>
        </w:tc>
      </w:tr>
      <w:tr>
        <w:tc>
          <w:tcPr>
            <w:tcW w:type="dxa" w:w="1440"/>
          </w:tcPr>
          <w:p>
            <w:r>
              <w:t>TC-FR8-GAPS</w:t>
            </w:r>
          </w:p>
        </w:tc>
        <w:tc>
          <w:tcPr>
            <w:tcW w:type="dxa" w:w="1440"/>
          </w:tcPr>
          <w:p>
            <w:r>
              <w:t>FR8</w:t>
            </w:r>
          </w:p>
        </w:tc>
        <w:tc>
          <w:tcPr>
            <w:tcW w:type="dxa" w:w="1440"/>
          </w:tcPr>
          <w:p>
            <w:r>
              <w:t>Unit</w:t>
            </w:r>
          </w:p>
        </w:tc>
        <w:tc>
          <w:tcPr>
            <w:tcW w:type="dxa" w:w="1440"/>
          </w:tcPr>
          <w:p>
            <w:r>
              <w:t>Identify missing or ambiguous information and generate follow-ups</w:t>
            </w:r>
          </w:p>
        </w:tc>
        <w:tc>
          <w:tcPr>
            <w:tcW w:type="dxa" w:w="1440"/>
          </w:tcPr>
          <w:p>
            <w:r>
              <w:t>Provide incomplete artifact set → verify follow-up questions emitted with schema field paths and suggested sources.</w:t>
            </w:r>
          </w:p>
        </w:tc>
        <w:tc>
          <w:tcPr>
            <w:tcW w:type="dxa" w:w="1440"/>
          </w:tcPr>
          <w:p>
            <w:r>
              <w:t>FollowUpQuestion list created; each includes field_path, reason, severity.</w:t>
            </w:r>
          </w:p>
        </w:tc>
      </w:tr>
      <w:tr>
        <w:tc>
          <w:tcPr>
            <w:tcW w:type="dxa" w:w="1440"/>
          </w:tcPr>
          <w:p>
            <w:r>
              <w:t>TC-FR9-EXPORT</w:t>
            </w:r>
          </w:p>
        </w:tc>
        <w:tc>
          <w:tcPr>
            <w:tcW w:type="dxa" w:w="1440"/>
          </w:tcPr>
          <w:p>
            <w:r>
              <w:t>FR9</w:t>
            </w:r>
          </w:p>
        </w:tc>
        <w:tc>
          <w:tcPr>
            <w:tcW w:type="dxa" w:w="1440"/>
          </w:tcPr>
          <w:p>
            <w:r>
              <w:t>Integration</w:t>
            </w:r>
          </w:p>
        </w:tc>
        <w:tc>
          <w:tcPr>
            <w:tcW w:type="dxa" w:w="1440"/>
          </w:tcPr>
          <w:p>
            <w:r>
              <w:t>Export JSON + human-readable report packet</w:t>
            </w:r>
          </w:p>
        </w:tc>
        <w:tc>
          <w:tcPr>
            <w:tcW w:type="dxa" w:w="1440"/>
          </w:tcPr>
          <w:p>
            <w:r>
              <w:t>Invoke packaging/export → generate outputs.json + report.docx/pdf + manifest in object storage.</w:t>
            </w:r>
          </w:p>
        </w:tc>
        <w:tc>
          <w:tcPr>
            <w:tcW w:type="dxa" w:w="1440"/>
          </w:tcPr>
          <w:p>
            <w:r>
              <w:t>ExportManifest references all artifacts with checksums; report renders parameter tables and citations.</w:t>
            </w:r>
          </w:p>
        </w:tc>
      </w:tr>
      <w:tr>
        <w:tc>
          <w:tcPr>
            <w:tcW w:type="dxa" w:w="1440"/>
          </w:tcPr>
          <w:p>
            <w:r>
              <w:t>TC-FR10-VERS</w:t>
            </w:r>
          </w:p>
        </w:tc>
        <w:tc>
          <w:tcPr>
            <w:tcW w:type="dxa" w:w="1440"/>
          </w:tcPr>
          <w:p>
            <w:r>
              <w:t>FR10</w:t>
            </w:r>
          </w:p>
        </w:tc>
        <w:tc>
          <w:tcPr>
            <w:tcW w:type="dxa" w:w="1440"/>
          </w:tcPr>
          <w:p>
            <w:r>
              <w:t>System</w:t>
            </w:r>
          </w:p>
        </w:tc>
        <w:tc>
          <w:tcPr>
            <w:tcW w:type="dxa" w:w="1440"/>
          </w:tcPr>
          <w:p>
            <w:r>
              <w:t>Support re-run/versioning with changelog</w:t>
            </w:r>
          </w:p>
        </w:tc>
        <w:tc>
          <w:tcPr>
            <w:tcW w:type="dxa" w:w="1440"/>
          </w:tcPr>
          <w:p>
            <w:r>
              <w:t>Update one artifact or answer a follow-up → rerun → generate diff against prior run.</w:t>
            </w:r>
          </w:p>
        </w:tc>
        <w:tc>
          <w:tcPr>
            <w:tcW w:type="dxa" w:w="1440"/>
          </w:tcPr>
          <w:p>
            <w:r>
              <w:t>New run version created; changelog/diff artifact generated and referenced in export.</w:t>
            </w:r>
          </w:p>
        </w:tc>
      </w:tr>
      <w:tr>
        <w:tc>
          <w:tcPr>
            <w:tcW w:type="dxa" w:w="1440"/>
          </w:tcPr>
          <w:p>
            <w:r>
              <w:t>TC-FR11-CAL-IF</w:t>
            </w:r>
          </w:p>
        </w:tc>
        <w:tc>
          <w:tcPr>
            <w:tcW w:type="dxa" w:w="1440"/>
          </w:tcPr>
          <w:p>
            <w:r>
              <w:t>FR11</w:t>
            </w:r>
          </w:p>
        </w:tc>
        <w:tc>
          <w:tcPr>
            <w:tcW w:type="dxa" w:w="1440"/>
          </w:tcPr>
          <w:p>
            <w:r>
              <w:t>Interface (Prototype)</w:t>
            </w:r>
          </w:p>
        </w:tc>
        <w:tc>
          <w:tcPr>
            <w:tcW w:type="dxa" w:w="1440"/>
          </w:tcPr>
          <w:p>
            <w:r>
              <w:t>Validate calibration interface exists and stores records (stub allowed)</w:t>
            </w:r>
          </w:p>
        </w:tc>
        <w:tc>
          <w:tcPr>
            <w:tcW w:type="dxa" w:w="1440"/>
          </w:tcPr>
          <w:p>
            <w:r>
              <w:t>Submit a calibration payload (synthetic) → verify it is accepted, persisted, and linked to run lineage.</w:t>
            </w:r>
          </w:p>
        </w:tc>
        <w:tc>
          <w:tcPr>
            <w:tcW w:type="dxa" w:w="1440"/>
          </w:tcPr>
          <w:p>
            <w:r>
              <w:t>CalibrationRecord stored; no history overwritten; API returns calibration history.</w:t>
            </w:r>
          </w:p>
        </w:tc>
      </w:tr>
      <w:tr>
        <w:tc>
          <w:tcPr>
            <w:tcW w:type="dxa" w:w="1440"/>
          </w:tcPr>
          <w:p>
            <w:r>
              <w:t>TC-NFR1-RBAC</w:t>
            </w:r>
          </w:p>
        </w:tc>
        <w:tc>
          <w:tcPr>
            <w:tcW w:type="dxa" w:w="1440"/>
          </w:tcPr>
          <w:p>
            <w:r>
              <w:t>NFR1</w:t>
            </w:r>
          </w:p>
        </w:tc>
        <w:tc>
          <w:tcPr>
            <w:tcW w:type="dxa" w:w="1440"/>
          </w:tcPr>
          <w:p>
            <w:r>
              <w:t>Security</w:t>
            </w:r>
          </w:p>
        </w:tc>
        <w:tc>
          <w:tcPr>
            <w:tcW w:type="dxa" w:w="1440"/>
          </w:tcPr>
          <w:p>
            <w:r>
              <w:t>Enforce least-privilege access control</w:t>
            </w:r>
          </w:p>
        </w:tc>
        <w:tc>
          <w:tcPr>
            <w:tcW w:type="dxa" w:w="1440"/>
          </w:tcPr>
          <w:p>
            <w:r>
              <w:t>Attempt cross-project access with different roles → confirm denial per role matrix.</w:t>
            </w:r>
          </w:p>
        </w:tc>
        <w:tc>
          <w:tcPr>
            <w:tcW w:type="dxa" w:w="1440"/>
          </w:tcPr>
          <w:p>
            <w:r>
              <w:t>Unauthorized access rejected; audit event recorded.</w:t>
            </w:r>
          </w:p>
        </w:tc>
      </w:tr>
      <w:tr>
        <w:tc>
          <w:tcPr>
            <w:tcW w:type="dxa" w:w="1440"/>
          </w:tcPr>
          <w:p>
            <w:r>
              <w:t>TC-NFR2-ENC</w:t>
            </w:r>
          </w:p>
        </w:tc>
        <w:tc>
          <w:tcPr>
            <w:tcW w:type="dxa" w:w="1440"/>
          </w:tcPr>
          <w:p>
            <w:r>
              <w:t>NFR2</w:t>
            </w:r>
          </w:p>
        </w:tc>
        <w:tc>
          <w:tcPr>
            <w:tcW w:type="dxa" w:w="1440"/>
          </w:tcPr>
          <w:p>
            <w:r>
              <w:t>Security</w:t>
            </w:r>
          </w:p>
        </w:tc>
        <w:tc>
          <w:tcPr>
            <w:tcW w:type="dxa" w:w="1440"/>
          </w:tcPr>
          <w:p>
            <w:r>
              <w:t>Encryption at rest/in transit posture</w:t>
            </w:r>
          </w:p>
        </w:tc>
        <w:tc>
          <w:tcPr>
            <w:tcW w:type="dxa" w:w="1440"/>
          </w:tcPr>
          <w:p>
            <w:r>
              <w:t>Verify TLS endpoints; verify object storage encryption config and key management integration is enabled.</w:t>
            </w:r>
          </w:p>
        </w:tc>
        <w:tc>
          <w:tcPr>
            <w:tcW w:type="dxa" w:w="1440"/>
          </w:tcPr>
          <w:p>
            <w:r>
              <w:t>TLS enforced; COS encryption enabled; secrets not logged.</w:t>
            </w:r>
          </w:p>
        </w:tc>
      </w:tr>
      <w:tr>
        <w:tc>
          <w:tcPr>
            <w:tcW w:type="dxa" w:w="1440"/>
          </w:tcPr>
          <w:p>
            <w:r>
              <w:t>TC-NFR3-AUDIT</w:t>
            </w:r>
          </w:p>
        </w:tc>
        <w:tc>
          <w:tcPr>
            <w:tcW w:type="dxa" w:w="1440"/>
          </w:tcPr>
          <w:p>
            <w:r>
              <w:t>NFR3</w:t>
            </w:r>
          </w:p>
        </w:tc>
        <w:tc>
          <w:tcPr>
            <w:tcW w:type="dxa" w:w="1440"/>
          </w:tcPr>
          <w:p>
            <w:r>
              <w:t>Audit</w:t>
            </w:r>
          </w:p>
        </w:tc>
        <w:tc>
          <w:tcPr>
            <w:tcW w:type="dxa" w:w="1440"/>
          </w:tcPr>
          <w:p>
            <w:r>
              <w:t>Log access and model generation events</w:t>
            </w:r>
          </w:p>
        </w:tc>
        <w:tc>
          <w:tcPr>
            <w:tcW w:type="dxa" w:w="1440"/>
          </w:tcPr>
          <w:p>
            <w:r>
              <w:t>Perform upload, run, export download → verify AuditEvents captured with principal_id, action, result.</w:t>
            </w:r>
          </w:p>
        </w:tc>
        <w:tc>
          <w:tcPr>
            <w:tcW w:type="dxa" w:w="1440"/>
          </w:tcPr>
          <w:p>
            <w:r>
              <w:t>Audit log includes access and generation events with run_id correlation.</w:t>
            </w:r>
          </w:p>
        </w:tc>
      </w:tr>
      <w:tr>
        <w:tc>
          <w:tcPr>
            <w:tcW w:type="dxa" w:w="1440"/>
          </w:tcPr>
          <w:p>
            <w:r>
              <w:t>TC-NFR4-TRACE</w:t>
            </w:r>
          </w:p>
        </w:tc>
        <w:tc>
          <w:tcPr>
            <w:tcW w:type="dxa" w:w="1440"/>
          </w:tcPr>
          <w:p>
            <w:r>
              <w:t>NFR4</w:t>
            </w:r>
          </w:p>
        </w:tc>
        <w:tc>
          <w:tcPr>
            <w:tcW w:type="dxa" w:w="1440"/>
          </w:tcPr>
          <w:p>
            <w:r>
              <w:t>System</w:t>
            </w:r>
          </w:p>
        </w:tc>
        <w:tc>
          <w:tcPr>
            <w:tcW w:type="dxa" w:w="1440"/>
          </w:tcPr>
          <w:p>
            <w:r>
              <w:t>Parameter traceability</w:t>
            </w:r>
          </w:p>
        </w:tc>
        <w:tc>
          <w:tcPr>
            <w:tcW w:type="dxa" w:w="1440"/>
          </w:tcPr>
          <w:p>
            <w:r>
              <w:t>Inspect exported parameters → confirm link to evidence snippet_id(s) or rule/assumption reference.</w:t>
            </w:r>
          </w:p>
        </w:tc>
        <w:tc>
          <w:tcPr>
            <w:tcW w:type="dxa" w:w="1440"/>
          </w:tcPr>
          <w:p>
            <w:r>
              <w:t>100% parameters traceable; export blocks if any provenance missing.</w:t>
            </w:r>
          </w:p>
        </w:tc>
      </w:tr>
      <w:tr>
        <w:tc>
          <w:tcPr>
            <w:tcW w:type="dxa" w:w="1440"/>
          </w:tcPr>
          <w:p>
            <w:r>
              <w:t>TC-NFR5-REPRO</w:t>
            </w:r>
          </w:p>
        </w:tc>
        <w:tc>
          <w:tcPr>
            <w:tcW w:type="dxa" w:w="1440"/>
          </w:tcPr>
          <w:p>
            <w:r>
              <w:t>NFR5</w:t>
            </w:r>
          </w:p>
        </w:tc>
        <w:tc>
          <w:tcPr>
            <w:tcW w:type="dxa" w:w="1440"/>
          </w:tcPr>
          <w:p>
            <w:r>
              <w:t>Regression</w:t>
            </w:r>
          </w:p>
        </w:tc>
        <w:tc>
          <w:tcPr>
            <w:tcW w:type="dxa" w:w="1440"/>
          </w:tcPr>
          <w:p>
            <w:r>
              <w:t>Reproducible outputs</w:t>
            </w:r>
          </w:p>
        </w:tc>
        <w:tc>
          <w:tcPr>
            <w:tcW w:type="dxa" w:w="1440"/>
          </w:tcPr>
          <w:p>
            <w:r>
              <w:t>Run twice with identical inputs and pinned config → compare output hashes.</w:t>
            </w:r>
          </w:p>
        </w:tc>
        <w:tc>
          <w:tcPr>
            <w:tcW w:type="dxa" w:w="1440"/>
          </w:tcPr>
          <w:p>
            <w:r>
              <w:t>Hashes identical (or variance documented by policy and bounded).</w:t>
            </w:r>
          </w:p>
        </w:tc>
      </w:tr>
      <w:tr>
        <w:tc>
          <w:tcPr>
            <w:tcW w:type="dxa" w:w="1440"/>
          </w:tcPr>
          <w:p>
            <w:r>
              <w:t>TC-NFR8-RET</w:t>
            </w:r>
          </w:p>
        </w:tc>
        <w:tc>
          <w:tcPr>
            <w:tcW w:type="dxa" w:w="1440"/>
          </w:tcPr>
          <w:p>
            <w:r>
              <w:t>NFR8</w:t>
            </w:r>
          </w:p>
        </w:tc>
        <w:tc>
          <w:tcPr>
            <w:tcW w:type="dxa" w:w="1440"/>
          </w:tcPr>
          <w:p>
            <w:r>
              <w:t>Compliance</w:t>
            </w:r>
          </w:p>
        </w:tc>
        <w:tc>
          <w:tcPr>
            <w:tcW w:type="dxa" w:w="1440"/>
          </w:tcPr>
          <w:p>
            <w:r>
              <w:t>Retention policy configuration</w:t>
            </w:r>
          </w:p>
        </w:tc>
        <w:tc>
          <w:tcPr>
            <w:tcW w:type="dxa" w:w="1440"/>
          </w:tcPr>
          <w:p>
            <w:r>
              <w:t>Configure retention policy; verify tags and scheduled deletion plan recorded (simulation allowed).</w:t>
            </w:r>
          </w:p>
        </w:tc>
        <w:tc>
          <w:tcPr>
            <w:tcW w:type="dxa" w:w="1440"/>
          </w:tcPr>
          <w:p>
            <w:r>
              <w:t>Policy persisted; artifacts/exports labeled; deletion workflow can identify eligible objects.</w:t>
            </w:r>
          </w:p>
        </w:tc>
      </w:tr>
    </w:tbl>
    <w:p>
      <w:pPr>
        <w:pStyle w:val="Heading1"/>
      </w:pPr>
      <w:r>
        <w:t>9. Evidence and Reporting</w:t>
      </w:r>
    </w:p>
    <w:p>
      <w:pPr>
        <w:pStyle w:val="ListBullet"/>
      </w:pPr>
      <w:r>
        <w:t>Each test case must produce an evidence artifact: logs (with run_id), output JSON, report packet, and/or audit event entries.</w:t>
      </w:r>
    </w:p>
    <w:p>
      <w:pPr>
        <w:pStyle w:val="ListBullet"/>
      </w:pPr>
      <w:r>
        <w:t>Store evidence pointers (URIs) in a test execution record per run_id so prototype verification is auditable.</w:t>
      </w:r>
    </w:p>
    <w:p>
      <w:pPr>
        <w:pStyle w:val="ListBullet"/>
      </w:pPr>
      <w:r>
        <w:t>Failures must include a reproduction recipe: run_id, config_id, model_version, retrieval_config, and snippet_ids used.</w:t>
      </w:r>
    </w:p>
    <w:p>
      <w:pPr>
        <w:pStyle w:val="Heading1"/>
      </w:pPr>
      <w:r>
        <w:t>10. Risks and Controls (Prototype)</w:t>
      </w:r>
    </w:p>
    <w:p>
      <w:pPr>
        <w:pStyle w:val="ListBullet"/>
      </w:pPr>
      <w:r>
        <w:t>RAG drift: mitigate by persisting snippet_ids and retrieval_config per run.</w:t>
      </w:r>
    </w:p>
    <w:p>
      <w:pPr>
        <w:pStyle w:val="ListBullet"/>
      </w:pPr>
      <w:r>
        <w:t>LLM drift / context issues: enforce prompt governance (schema-first prompts, bounded evidence, deterministic pre-processing).</w:t>
      </w:r>
    </w:p>
    <w:p>
      <w:pPr>
        <w:pStyle w:val="ListBullet"/>
      </w:pPr>
      <w:r>
        <w:t>Incomplete documents: ensure follow-up question generation is verified (FR8).</w:t>
      </w:r>
    </w:p>
    <w:p>
      <w:pPr>
        <w:pStyle w:val="ListBullet"/>
      </w:pPr>
      <w:r>
        <w:t>Traceability gaps: export must fail closed when provenance is missing (FR6/NFR4).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