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ind w:left="120" w:right="120"/>
        <w:jc w:val="center"/>
        <w:shd w:fill="9B1C1C"/>
      </w:pPr>
      <w:r>
        <w:rPr>
          <w:rFonts w:ascii="Calibri" w:hAnsi="Calibri"/>
          <w:b/>
          <w:color w:val="FFFFFF"/>
          <w:sz w:val="17"/>
        </w:rPr>
        <w:t>DRAFT FOR DISCUSSION - NOT FOR SIGNATURE OR FILING - ATTORNEY/CPA REVIEW REQUIRED</w:t>
      </w:r>
    </w:p>
    <w:p>
      <w:pPr>
        <w:spacing w:before="80" w:after="40"/>
      </w:pPr>
      <w:r>
        <w:rPr>
          <w:rFonts w:ascii="Calibri" w:hAnsi="Calibri"/>
          <w:b/>
          <w:color w:val="1D7169"/>
          <w:sz w:val="19"/>
        </w:rPr>
        <w:t>CPA COORDINATION PACKET</w:t>
      </w:r>
    </w:p>
    <w:p>
      <w:pPr>
        <w:spacing w:before="0" w:after="80"/>
      </w:pPr>
      <w:r>
        <w:rPr>
          <w:rFonts w:ascii="Calibri" w:hAnsi="Calibri"/>
          <w:b/>
          <w:color w:val="18324B"/>
          <w:sz w:val="50"/>
        </w:rPr>
        <w:t>Caisson Finance and Tax Coordination</w:t>
      </w:r>
    </w:p>
    <w:p>
      <w:pPr>
        <w:spacing w:before="0" w:after="280"/>
      </w:pPr>
      <w:r>
        <w:rPr>
          <w:rFonts w:ascii="Calibri" w:hAnsi="Calibri"/>
          <w:color w:val="5D6874"/>
          <w:sz w:val="25"/>
        </w:rPr>
        <w:t>Working reconstruction, family funding, trust sequencing, payroll, and opening-entry decisions</w:t>
      </w:r>
    </w:p>
    <w:tbl>
      <w:tblPr>
        <w:tblW w:type="dxa" w:w="9360"/>
        <w:tblLayout w:type="fixed"/>
        <w:tblLook w:firstColumn="1" w:firstRow="1" w:lastColumn="0" w:lastRow="0" w:noHBand="0" w:noVBand="1" w:val="04A0"/>
        <w:jc w:val="left"/>
        <w:tblBorders>
          <w:top w:val="single" w:sz="4" w:color="D7DDE4"/>
          <w:left w:val="single" w:sz="4" w:color="D7DDE4"/>
          <w:bottom w:val="single" w:sz="4" w:color="D7DDE4"/>
          <w:right w:val="single" w:sz="4" w:color="D7DDE4"/>
          <w:insideH w:val="single" w:sz="4" w:color="D7DDE4"/>
          <w:insideV w:val="single" w:sz="4" w:color="D7DDE4"/>
        </w:tblBorders>
        <w:tblInd w:type="dxa" w:w="120"/>
      </w:tblPr>
      <w:tblGrid>
        <w:gridCol w:w="1900"/>
        <w:gridCol w:w="7460"/>
      </w:tblGrid>
      <w:tr>
        <w:trPr>
          <w:cantSplit w:val="true"/>
        </w:trPr>
        <w:tc>
          <w:tcPr>
            <w:tcW w:type="dxa" w:w="1900"/>
            <w:shd w:fill="F2F4F7"/>
            <w:vAlign w:val="center"/>
            <w:tcMar>
              <w:top w:w="80" w:type="dxa"/>
              <w:bottom w:w="80" w:type="dxa"/>
              <w:start w:w="120" w:type="dxa"/>
              <w:end w:w="120" w:type="dxa"/>
            </w:tcMar>
          </w:tcPr>
          <w:p>
            <w:pPr>
              <w:pStyle w:val="TableText"/>
            </w:pPr>
            <w:r>
              <w:rPr>
                <w:rFonts w:ascii="Calibri" w:hAnsi="Calibri"/>
                <w:b/>
                <w:color w:val="18324B"/>
                <w:sz w:val="18"/>
              </w:rPr>
              <w:t>Prepared for</w:t>
            </w:r>
          </w:p>
        </w:tc>
        <w:tc>
          <w:tcPr>
            <w:tcW w:type="dxa" w:w="7460"/>
            <w:vAlign w:val="center"/>
            <w:tcMar>
              <w:top w:w="80" w:type="dxa"/>
              <w:bottom w:w="80" w:type="dxa"/>
              <w:start w:w="120" w:type="dxa"/>
              <w:end w:w="120" w:type="dxa"/>
            </w:tcMar>
          </w:tcPr>
          <w:p>
            <w:pPr>
              <w:pStyle w:val="TableText"/>
            </w:pPr>
            <w:r>
              <w:rPr>
                <w:rFonts w:ascii="Calibri" w:hAnsi="Calibri"/>
                <w:b w:val="0"/>
                <w:sz w:val="18"/>
              </w:rPr>
              <w:t>Vik Thadani's CPA - existing-client advisory intake</w:t>
            </w:r>
          </w:p>
        </w:tc>
      </w:tr>
      <w:tr>
        <w:trPr>
          <w:cantSplit w:val="true"/>
        </w:trPr>
        <w:tc>
          <w:tcPr>
            <w:tcW w:type="dxa" w:w="1900"/>
            <w:shd w:fill="F2F4F7"/>
            <w:vAlign w:val="center"/>
            <w:tcMar>
              <w:top w:w="80" w:type="dxa"/>
              <w:bottom w:w="80" w:type="dxa"/>
              <w:start w:w="120" w:type="dxa"/>
              <w:end w:w="120" w:type="dxa"/>
            </w:tcMar>
          </w:tcPr>
          <w:p>
            <w:pPr>
              <w:pStyle w:val="TableText"/>
            </w:pPr>
            <w:r>
              <w:rPr>
                <w:rFonts w:ascii="Calibri" w:hAnsi="Calibri"/>
                <w:b/>
                <w:color w:val="18324B"/>
                <w:sz w:val="18"/>
              </w:rPr>
              <w:t>Prepared</w:t>
            </w:r>
          </w:p>
        </w:tc>
        <w:tc>
          <w:tcPr>
            <w:tcW w:type="dxa" w:w="7460"/>
            <w:vAlign w:val="center"/>
            <w:tcMar>
              <w:top w:w="80" w:type="dxa"/>
              <w:bottom w:w="80" w:type="dxa"/>
              <w:start w:w="120" w:type="dxa"/>
              <w:end w:w="120" w:type="dxa"/>
            </w:tcMar>
          </w:tcPr>
          <w:p>
            <w:pPr>
              <w:pStyle w:val="TableText"/>
            </w:pPr>
            <w:r>
              <w:rPr>
                <w:rFonts w:ascii="Calibri" w:hAnsi="Calibri"/>
                <w:b w:val="0"/>
                <w:sz w:val="18"/>
              </w:rPr>
              <w:t>July 11, 2026</w:t>
            </w:r>
          </w:p>
        </w:tc>
      </w:tr>
      <w:tr>
        <w:trPr>
          <w:cantSplit w:val="true"/>
        </w:trPr>
        <w:tc>
          <w:tcPr>
            <w:tcW w:type="dxa" w:w="1900"/>
            <w:shd w:fill="F2F4F7"/>
            <w:vAlign w:val="center"/>
            <w:tcMar>
              <w:top w:w="80" w:type="dxa"/>
              <w:bottom w:w="80" w:type="dxa"/>
              <w:start w:w="120" w:type="dxa"/>
              <w:end w:w="120" w:type="dxa"/>
            </w:tcMar>
          </w:tcPr>
          <w:p>
            <w:pPr>
              <w:pStyle w:val="TableText"/>
            </w:pPr>
            <w:r>
              <w:rPr>
                <w:rFonts w:ascii="Calibri" w:hAnsi="Calibri"/>
                <w:b/>
                <w:color w:val="18324B"/>
                <w:sz w:val="18"/>
              </w:rPr>
              <w:t>Status</w:t>
            </w:r>
          </w:p>
        </w:tc>
        <w:tc>
          <w:tcPr>
            <w:tcW w:type="dxa" w:w="7460"/>
            <w:vAlign w:val="center"/>
            <w:tcMar>
              <w:top w:w="80" w:type="dxa"/>
              <w:bottom w:w="80" w:type="dxa"/>
              <w:start w:w="120" w:type="dxa"/>
              <w:end w:w="120" w:type="dxa"/>
            </w:tcMar>
          </w:tcPr>
          <w:p>
            <w:pPr>
              <w:pStyle w:val="TableText"/>
            </w:pPr>
            <w:r>
              <w:rPr>
                <w:rFonts w:ascii="Calibri" w:hAnsi="Calibri"/>
                <w:b w:val="0"/>
                <w:sz w:val="18"/>
              </w:rPr>
              <w:t>CPA review requested; not an approved ledger</w:t>
            </w:r>
          </w:p>
        </w:tc>
      </w:tr>
      <w:tr>
        <w:trPr>
          <w:cantSplit w:val="true"/>
        </w:trPr>
        <w:tc>
          <w:tcPr>
            <w:tcW w:type="dxa" w:w="1900"/>
            <w:shd w:fill="F2F4F7"/>
            <w:vAlign w:val="center"/>
            <w:tcMar>
              <w:top w:w="80" w:type="dxa"/>
              <w:bottom w:w="80" w:type="dxa"/>
              <w:start w:w="120" w:type="dxa"/>
              <w:end w:w="120" w:type="dxa"/>
            </w:tcMar>
          </w:tcPr>
          <w:p>
            <w:pPr>
              <w:pStyle w:val="TableText"/>
            </w:pPr>
            <w:r>
              <w:rPr>
                <w:rFonts w:ascii="Calibri" w:hAnsi="Calibri"/>
                <w:b/>
                <w:color w:val="18324B"/>
                <w:sz w:val="18"/>
              </w:rPr>
              <w:t>Governing baseline</w:t>
            </w:r>
          </w:p>
        </w:tc>
        <w:tc>
          <w:tcPr>
            <w:tcW w:type="dxa" w:w="7460"/>
            <w:vAlign w:val="center"/>
            <w:tcMar>
              <w:top w:w="80" w:type="dxa"/>
              <w:bottom w:w="80" w:type="dxa"/>
              <w:start w:w="120" w:type="dxa"/>
              <w:end w:w="120" w:type="dxa"/>
            </w:tcMar>
          </w:tcPr>
          <w:p>
            <w:pPr>
              <w:pStyle w:val="TableText"/>
            </w:pPr>
            <w:r>
              <w:rPr>
                <w:rFonts w:ascii="Calibri" w:hAnsi="Calibri"/>
                <w:b w:val="0"/>
                <w:sz w:val="18"/>
              </w:rPr>
              <w:t>Georgia law; counsel to confirm trust jurisdiction and family-law effects</w:t>
            </w:r>
          </w:p>
        </w:tc>
      </w:tr>
    </w:tbl>
    <w:p>
      <w:pPr>
        <w:spacing w:after="40"/>
      </w:pPr>
    </w:p>
    <w:p>
      <w:pPr>
        <w:spacing w:before="40" w:after="160"/>
        <w:pBdr>
          <w:bottom w:val="single" w:sz="10" w:space="2" w:color="1D7169"/>
        </w:pBdr>
      </w:pPr>
    </w:p>
    <w:p>
      <w:pPr>
        <w:pStyle w:val="Heading1"/>
        <w:pageBreakBefore w:val="0"/>
      </w:pPr>
      <w:r>
        <w:rPr>
          <w:rFonts w:ascii="Calibri" w:hAnsi="Calibri"/>
          <w:b/>
        </w:rPr>
        <w:t>DRAFT - FOR CPA COORDINATION AND REVIEW ONLY</w:t>
      </w:r>
    </w:p>
    <w:p>
      <w:pPr>
        <w:spacing w:before="80" w:after="160" w:line="259" w:lineRule="auto"/>
        <w:ind w:left="202" w:right="115"/>
        <w:shd w:fill="EEF5FA"/>
        <w:pBdr>
          <w:left w:val="single" w:sz="18" w:space="6" w:color="1D7169"/>
        </w:pBdr>
      </w:pPr>
      <w:r>
        <w:rPr>
          <w:rFonts w:ascii="Calibri" w:hAnsi="Calibri"/>
          <w:b w:val="0"/>
          <w:sz w:val="20"/>
        </w:rPr>
        <w:t>This is a working draft for professional review. It does not establish legal ownership, make a gift, create a trust, select a tax classification, approve a deduction, or authorize a journal entry. The referenced transaction workbook is a working reconstruction, not the company ledger.</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2100"/>
        <w:gridCol w:w="7260"/>
      </w:tblGrid>
      <w:tr>
        <w:trPr>
          <w:cantSplit w:val="true"/>
          <w:tblHeader w:val="true"/>
        </w:trPr>
        <w:tc>
          <w:tcPr>
            <w:tcW w:type="dxa" w:w="2100"/>
            <w:vAlign w:val="center"/>
            <w:shd w:fill="F2F4F7"/>
            <w:tcMar>
              <w:top w:w="80" w:type="dxa"/>
              <w:bottom w:w="80" w:type="dxa"/>
              <w:start w:w="120" w:type="dxa"/>
              <w:end w:w="120" w:type="dxa"/>
            </w:tcMar>
          </w:tcPr>
          <w:p>
            <w:pPr>
              <w:pStyle w:val="TableText"/>
              <w:jc w:val="left"/>
            </w:pPr>
            <w:r>
              <w:rPr>
                <w:rFonts w:ascii="Calibri" w:hAnsi="Calibri"/>
                <w:b/>
                <w:color w:val="18324B"/>
                <w:sz w:val="17"/>
              </w:rPr>
              <w:t>Document control</w:t>
            </w:r>
          </w:p>
        </w:tc>
        <w:tc>
          <w:tcPr>
            <w:tcW w:type="dxa" w:w="7260"/>
            <w:vAlign w:val="center"/>
            <w:shd w:fill="F2F4F7"/>
            <w:tcMar>
              <w:top w:w="80" w:type="dxa"/>
              <w:bottom w:w="80" w:type="dxa"/>
              <w:start w:w="120" w:type="dxa"/>
              <w:end w:w="120" w:type="dxa"/>
            </w:tcMar>
          </w:tcPr>
          <w:p>
            <w:pPr>
              <w:pStyle w:val="TableText"/>
              <w:jc w:val="left"/>
            </w:pPr>
            <w:r>
              <w:rPr>
                <w:rFonts w:ascii="Calibri" w:hAnsi="Calibri"/>
                <w:b/>
                <w:color w:val="18324B"/>
                <w:sz w:val="17"/>
              </w:rPr>
              <w:t>Value</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Referenced workbook</w:t>
            </w:r>
          </w:p>
        </w:tc>
        <w:tc>
          <w:tcPr>
            <w:tcW w:type="dxa" w:w="7260"/>
            <w:vAlign w:val="top"/>
            <w:tcMar>
              <w:top w:w="80" w:type="dxa"/>
              <w:bottom w:w="80" w:type="dxa"/>
              <w:start w:w="120" w:type="dxa"/>
              <w:end w:w="120" w:type="dxa"/>
            </w:tcMar>
          </w:tcPr>
          <w:p>
            <w:pPr>
              <w:pStyle w:val="TableText"/>
              <w:jc w:val="left"/>
            </w:pPr>
            <w:r>
              <w:rPr>
                <w:rFonts w:ascii="Consolas" w:hAnsi="Consolas"/>
                <w:color w:val="1F4D78"/>
                <w:sz w:val="17"/>
              </w:rPr>
              <w:t>Caisson_Finance_Reconstruction_DRAFT_2026-07-11.xlsx</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Workbook status and cutoff</w:t>
            </w:r>
          </w:p>
        </w:tc>
        <w:tc>
          <w:tcPr>
            <w:tcW w:type="dxa" w:w="7260"/>
            <w:vAlign w:val="top"/>
            <w:tcMar>
              <w:top w:w="80" w:type="dxa"/>
              <w:bottom w:w="80" w:type="dxa"/>
              <w:start w:w="120" w:type="dxa"/>
              <w:end w:w="120" w:type="dxa"/>
            </w:tcMar>
          </w:tcPr>
          <w:p>
            <w:pPr>
              <w:pStyle w:val="TableText"/>
              <w:jc w:val="left"/>
            </w:pPr>
            <w:r>
              <w:rPr>
                <w:rFonts w:ascii="Consolas" w:hAnsi="Consolas"/>
                <w:color w:val="1F4D78"/>
                <w:sz w:val="17"/>
              </w:rPr>
              <w:t>DRAFT - UNREVIEWED</w:t>
            </w:r>
            <w:r>
              <w:rPr>
                <w:rFonts w:ascii="Calibri" w:hAnsi="Calibri"/>
                <w:b w:val="0"/>
                <w:sz w:val="18"/>
              </w:rPr>
              <w:t>; extraction cutoff July 11, 2026 at 19:33:07 UTC</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Workbook SHA-256</w:t>
            </w:r>
          </w:p>
        </w:tc>
        <w:tc>
          <w:tcPr>
            <w:tcW w:type="dxa" w:w="7260"/>
            <w:vAlign w:val="top"/>
            <w:tcMar>
              <w:top w:w="80" w:type="dxa"/>
              <w:bottom w:w="80" w:type="dxa"/>
              <w:start w:w="120" w:type="dxa"/>
              <w:end w:w="120" w:type="dxa"/>
            </w:tcMar>
          </w:tcPr>
          <w:p>
            <w:pPr>
              <w:pStyle w:val="TableText"/>
              <w:jc w:val="left"/>
            </w:pPr>
            <w:r>
              <w:rPr>
                <w:rFonts w:ascii="Consolas" w:hAnsi="Consolas"/>
                <w:color w:val="1F4D78"/>
                <w:sz w:val="17"/>
              </w:rPr>
              <w:t>5f159c9312486249230ac502057108b8a26df0d42f84b28a3ae8442b1254e6c1</w:t>
            </w:r>
          </w:p>
        </w:tc>
      </w:tr>
    </w:tbl>
    <w:p>
      <w:pPr>
        <w:spacing w:after="40"/>
      </w:pPr>
    </w:p>
    <w:p>
      <w:pPr>
        <w:pStyle w:val="Heading1"/>
        <w:pageBreakBefore w:val="0"/>
      </w:pPr>
      <w:r>
        <w:rPr>
          <w:rFonts w:ascii="Calibri" w:hAnsi="Calibri"/>
          <w:b/>
        </w:rPr>
        <w:t>1. Purpose and immediate request</w:t>
      </w:r>
    </w:p>
    <w:p>
      <w:pPr>
        <w:keepLines w:val="0"/>
        <w:widowControl/>
      </w:pPr>
      <w:r>
        <w:rPr>
          <w:rFonts w:ascii="Calibri" w:hAnsi="Calibri"/>
          <w:b w:val="0"/>
          <w:sz w:val="22"/>
        </w:rPr>
        <w:t>This packet asks the CPA to coordinate with counsel before any ownership transfer, trust execution, payroll launch, tax election, or opening-books entry. The immediate objectives are to:</w:t>
      </w:r>
    </w:p>
    <w:p>
      <w:pPr>
        <w:widowControl/>
        <w:numPr>
          <w:ilvl w:val="0"/>
          <w:numId w:val="10"/>
        </w:numPr>
      </w:pPr>
      <w:r>
        <w:rPr>
          <w:rFonts w:ascii="Calibri" w:hAnsi="Calibri"/>
          <w:b w:val="0"/>
          <w:sz w:val="21"/>
        </w:rPr>
        <w:t>Define the CPA engagement boundary because Vik is reported to be the CPA's only current client.</w:t>
      </w:r>
    </w:p>
    <w:p>
      <w:pPr>
        <w:widowControl/>
        <w:numPr>
          <w:ilvl w:val="0"/>
          <w:numId w:val="10"/>
        </w:numPr>
      </w:pPr>
      <w:r>
        <w:rPr>
          <w:rFonts w:ascii="Calibri" w:hAnsi="Calibri"/>
          <w:b w:val="0"/>
          <w:sz w:val="21"/>
        </w:rPr>
        <w:t>Review the proposed legal structure after counsel has reduced it to a draft term sheet or instrument set, but before execution.</w:t>
      </w:r>
    </w:p>
    <w:p>
      <w:pPr>
        <w:widowControl/>
        <w:numPr>
          <w:ilvl w:val="0"/>
          <w:numId w:val="10"/>
        </w:numPr>
      </w:pPr>
      <w:r>
        <w:rPr>
          <w:rFonts w:ascii="Calibri" w:hAnsi="Calibri"/>
          <w:b w:val="0"/>
          <w:sz w:val="21"/>
        </w:rPr>
        <w:t>Model the federal and Georgia tax consequences of the proposed ownership and trust structure.</w:t>
      </w:r>
    </w:p>
    <w:p>
      <w:pPr>
        <w:widowControl/>
        <w:numPr>
          <w:ilvl w:val="0"/>
          <w:numId w:val="10"/>
        </w:numPr>
      </w:pPr>
      <w:r>
        <w:rPr>
          <w:rFonts w:ascii="Calibri" w:hAnsi="Calibri"/>
          <w:b w:val="0"/>
          <w:sz w:val="21"/>
        </w:rPr>
        <w:t>Review the historical transaction reconstruction, obtain missing factual support, and approve only supportable classifications.</w:t>
      </w:r>
    </w:p>
    <w:p>
      <w:pPr>
        <w:widowControl/>
        <w:numPr>
          <w:ilvl w:val="0"/>
          <w:numId w:val="10"/>
        </w:numPr>
      </w:pPr>
      <w:r>
        <w:rPr>
          <w:rFonts w:ascii="Calibri" w:hAnsi="Calibri"/>
          <w:b w:val="0"/>
          <w:sz w:val="21"/>
        </w:rPr>
        <w:t>Approve the opening entries and forward bookkeeping controls only after the legal structure and tax treatment are settled.</w:t>
      </w:r>
    </w:p>
    <w:p>
      <w:pPr>
        <w:keepLines w:val="0"/>
        <w:widowControl/>
      </w:pPr>
      <w:r>
        <w:rPr>
          <w:rFonts w:ascii="Calibri" w:hAnsi="Calibri"/>
          <w:b w:val="0"/>
          <w:sz w:val="22"/>
        </w:rPr>
        <w:t>The Mercury and Paddle applications have not been submitted. No platform ownership, control-person, administrator, reserve, payout, settlement, or operating-account entry should be recorded unless and until an application is submitted, approved, and operational.</w:t>
      </w:r>
    </w:p>
    <w:p>
      <w:pPr>
        <w:pStyle w:val="Heading1"/>
        <w:pageBreakBefore w:val="0"/>
      </w:pPr>
      <w:r>
        <w:rPr>
          <w:rFonts w:ascii="Calibri" w:hAnsi="Calibri"/>
          <w:b/>
        </w:rPr>
        <w:t>2. Engagement boundary and information sharing</w:t>
      </w:r>
    </w:p>
    <w:p>
      <w:pPr>
        <w:keepLines w:val="0"/>
        <w:widowControl/>
      </w:pPr>
      <w:r>
        <w:rPr>
          <w:rFonts w:ascii="Calibri" w:hAnsi="Calibri"/>
          <w:b w:val="0"/>
          <w:sz w:val="22"/>
        </w:rPr>
        <w:t>The CPA is reported to represent Vik, not Caisson Software LLC, Lakshmi, Liam, or a proposed trust. Before accepting instructions or issuing advice that affects another person or entity, please confirm in writing:</w:t>
      </w:r>
    </w:p>
    <w:p>
      <w:pPr>
        <w:widowControl/>
        <w:numPr>
          <w:ilvl w:val="0"/>
          <w:numId w:val="11"/>
        </w:numPr>
      </w:pPr>
      <w:r>
        <w:rPr>
          <w:rFonts w:ascii="Calibri" w:hAnsi="Calibri"/>
          <w:b w:val="0"/>
          <w:sz w:val="21"/>
        </w:rPr>
        <w:t>Whether the existing engagement with Vik includes this coordination work.</w:t>
      </w:r>
    </w:p>
    <w:p>
      <w:pPr>
        <w:widowControl/>
        <w:numPr>
          <w:ilvl w:val="0"/>
          <w:numId w:val="11"/>
        </w:numPr>
      </w:pPr>
      <w:r>
        <w:rPr>
          <w:rFonts w:ascii="Calibri" w:hAnsi="Calibri"/>
          <w:b w:val="0"/>
          <w:sz w:val="21"/>
        </w:rPr>
        <w:t>Whether a separate engagement is needed for Caisson, Lakshmi, Liam, or the proposed trust.</w:t>
      </w:r>
    </w:p>
    <w:p>
      <w:pPr>
        <w:widowControl/>
        <w:numPr>
          <w:ilvl w:val="0"/>
          <w:numId w:val="11"/>
        </w:numPr>
      </w:pPr>
      <w:r>
        <w:rPr>
          <w:rFonts w:ascii="Calibri" w:hAnsi="Calibri"/>
          <w:b w:val="0"/>
          <w:sz w:val="21"/>
        </w:rPr>
        <w:t>Who may instruct the CPA, approve classifications, and receive deliverables.</w:t>
      </w:r>
    </w:p>
    <w:p>
      <w:pPr>
        <w:widowControl/>
        <w:numPr>
          <w:ilvl w:val="0"/>
          <w:numId w:val="11"/>
        </w:numPr>
      </w:pPr>
      <w:r>
        <w:rPr>
          <w:rFonts w:ascii="Calibri" w:hAnsi="Calibri"/>
          <w:b w:val="0"/>
          <w:sz w:val="21"/>
        </w:rPr>
        <w:t>Who is responsible for gift-tax, fiduciary, individual, payroll, and company filings.</w:t>
      </w:r>
    </w:p>
    <w:p>
      <w:pPr>
        <w:widowControl/>
        <w:numPr>
          <w:ilvl w:val="0"/>
          <w:numId w:val="11"/>
        </w:numPr>
      </w:pPr>
      <w:r>
        <w:rPr>
          <w:rFonts w:ascii="Calibri" w:hAnsi="Calibri"/>
          <w:b w:val="0"/>
          <w:sz w:val="21"/>
        </w:rPr>
        <w:t>Whether any conflict disclosure, consent, or separate-advisor recommendation is appropriate.</w:t>
      </w:r>
    </w:p>
    <w:p>
      <w:pPr>
        <w:widowControl/>
        <w:numPr>
          <w:ilvl w:val="0"/>
          <w:numId w:val="11"/>
        </w:numPr>
      </w:pPr>
      <w:r>
        <w:rPr>
          <w:rFonts w:ascii="Calibri" w:hAnsi="Calibri"/>
          <w:b w:val="0"/>
          <w:sz w:val="21"/>
        </w:rPr>
        <w:t>Whether counsel will engage the CPA for any defined legal-consulting purpose. No privilege is assumed by this packet.</w:t>
      </w:r>
    </w:p>
    <w:p>
      <w:pPr>
        <w:keepLines w:val="0"/>
        <w:widowControl/>
      </w:pPr>
      <w:r>
        <w:rPr>
          <w:rFonts w:ascii="Calibri" w:hAnsi="Calibri"/>
          <w:b w:val="0"/>
          <w:sz w:val="22"/>
        </w:rPr>
        <w:t>The father-linked Amex data and the Current feed Liam describes as his contain unrelated personal activity; the Current account's legal owner remains unconfirmed. The CPA should receive the full workbook only after the permitted recipients and data-use scope are confirmed.</w:t>
      </w:r>
    </w:p>
    <w:p>
      <w:pPr>
        <w:pStyle w:val="Heading1"/>
        <w:pageBreakBefore w:val="0"/>
      </w:pPr>
      <w:r>
        <w:rPr>
          <w:rFonts w:ascii="Calibri" w:hAnsi="Calibri"/>
          <w:b/>
        </w:rPr>
        <w:t>3. Working factual baseline</w:t>
      </w:r>
    </w:p>
    <w:p>
      <w:pPr>
        <w:keepLines w:val="0"/>
        <w:widowControl/>
      </w:pPr>
      <w:r>
        <w:rPr>
          <w:rFonts w:ascii="Calibri" w:hAnsi="Calibri"/>
          <w:b w:val="0"/>
          <w:sz w:val="22"/>
        </w:rPr>
        <w:t>The following are working facts or reported family statements, not tax conclusions:</w:t>
      </w:r>
    </w:p>
    <w:p>
      <w:pPr>
        <w:widowControl/>
        <w:numPr>
          <w:ilvl w:val="0"/>
          <w:numId w:val="12"/>
        </w:numPr>
      </w:pPr>
      <w:r>
        <w:rPr>
          <w:rFonts w:ascii="Calibri" w:hAnsi="Calibri"/>
          <w:b w:val="0"/>
          <w:sz w:val="21"/>
        </w:rPr>
        <w:t>Caisson Software LLC was formed in Georgia on July 6, 2026.</w:t>
      </w:r>
    </w:p>
    <w:p>
      <w:pPr>
        <w:widowControl/>
        <w:numPr>
          <w:ilvl w:val="0"/>
          <w:numId w:val="12"/>
        </w:numPr>
      </w:pPr>
      <w:r>
        <w:rPr>
          <w:rFonts w:ascii="Calibri" w:hAnsi="Calibri"/>
          <w:b w:val="0"/>
          <w:sz w:val="21"/>
        </w:rPr>
        <w:t>The signed organizer resolution and related available records identify Lakshmi Delbel as sole member; Georgia's public formation record does not state ownership, and counsel must confirm title before the assignment.</w:t>
      </w:r>
    </w:p>
    <w:p>
      <w:pPr>
        <w:widowControl/>
        <w:numPr>
          <w:ilvl w:val="0"/>
          <w:numId w:val="12"/>
        </w:numPr>
      </w:pPr>
      <w:r>
        <w:rPr>
          <w:rFonts w:ascii="Calibri" w:hAnsi="Calibri"/>
          <w:b w:val="0"/>
          <w:sz w:val="21"/>
        </w:rPr>
        <w:t>The July 8, 2026 organizer resolution is signed, names Lakshmi as member, relinquishes organizer authority, and refers to adoption of general operating-agreement provisions. The separate Northwest package is prefilled but was not signed or dated by Lakshmi; its member-adoption, capital, and bank-resolution fields are blank. Counsel must determine the narrow effect of the organizer language and use selective ratification plus express supersession, not treat the vendor form as a clean executed operating agreement.</w:t>
      </w:r>
    </w:p>
    <w:p>
      <w:pPr>
        <w:widowControl/>
        <w:numPr>
          <w:ilvl w:val="0"/>
          <w:numId w:val="12"/>
        </w:numPr>
      </w:pPr>
      <w:r>
        <w:rPr>
          <w:rFonts w:ascii="Calibri" w:hAnsi="Calibri"/>
          <w:b w:val="0"/>
          <w:sz w:val="21"/>
        </w:rPr>
        <w:t>Liam is a minor, the principal operator, and the principal known author of the existing product code.</w:t>
      </w:r>
    </w:p>
    <w:p>
      <w:pPr>
        <w:widowControl/>
        <w:numPr>
          <w:ilvl w:val="0"/>
          <w:numId w:val="12"/>
        </w:numPr>
      </w:pPr>
      <w:r>
        <w:rPr>
          <w:rFonts w:ascii="Calibri" w:hAnsi="Calibri"/>
          <w:b w:val="0"/>
          <w:sz w:val="21"/>
        </w:rPr>
        <w:t>The locked direction for counsel drafting is an irrevocable private trust intended to be presently funded at a coordinated closing. Lakshmi is settlor and initial trustee; Lakshmi solely in fiduciary capacity as trustee is to hold legal title to the entire LLC interest and be admitted as sole member. Lakshmi individually is to serve as LLC manager. Vik Thadani is the designated successor trustee and successor manager. After a valid closing, Liam is intended to hold the sole current beneficial interest, intended to be vested subject to complete divestment if he dies before the fixed handoff, but he is not a direct LLC member. Trust-law beneficial ownership, income-tax ownership, gift-tax treatment, state-law membership, and platform-defined beneficial ownership remain separate determinations. The entire economic interest is intended to transfer at 12:01 a.m. Eastern Time on August 19, 2027; counsel must stage Liam's valid adult consent so full member and manager admission occurs then, with a no-gap continuity fallback if capacity or consent is not yet legally effective.</w:t>
      </w:r>
    </w:p>
    <w:p>
      <w:pPr>
        <w:widowControl/>
        <w:numPr>
          <w:ilvl w:val="0"/>
          <w:numId w:val="12"/>
        </w:numPr>
      </w:pPr>
      <w:r>
        <w:rPr>
          <w:rFonts w:ascii="Calibri" w:hAnsi="Calibri"/>
          <w:b w:val="0"/>
          <w:sz w:val="21"/>
        </w:rPr>
        <w:t>Vik funded historical startup activity through a mixed-use Amex environment and transfers into a mixed-use Current debit environment.</w:t>
      </w:r>
    </w:p>
    <w:p>
      <w:pPr>
        <w:widowControl/>
        <w:numPr>
          <w:ilvl w:val="0"/>
          <w:numId w:val="12"/>
        </w:numPr>
      </w:pPr>
      <w:r>
        <w:rPr>
          <w:rFonts w:ascii="Calibri" w:hAnsi="Calibri"/>
          <w:b w:val="0"/>
          <w:sz w:val="21"/>
        </w:rPr>
        <w:t>Vik has stated that he does not intend repayment of the historical funding.</w:t>
      </w:r>
    </w:p>
    <w:p>
      <w:pPr>
        <w:widowControl/>
        <w:numPr>
          <w:ilvl w:val="0"/>
          <w:numId w:val="12"/>
        </w:numPr>
      </w:pPr>
      <w:r>
        <w:rPr>
          <w:rFonts w:ascii="Calibri" w:hAnsi="Calibri"/>
          <w:b w:val="0"/>
          <w:sz w:val="21"/>
        </w:rPr>
        <w:t>No fact presently supplied establishes Vik as a member, lender, capital contributor, or reimbursable creditor of the LLC.</w:t>
      </w:r>
    </w:p>
    <w:p>
      <w:pPr>
        <w:widowControl/>
        <w:numPr>
          <w:ilvl w:val="0"/>
          <w:numId w:val="12"/>
        </w:numPr>
      </w:pPr>
      <w:r>
        <w:rPr>
          <w:rFonts w:ascii="Calibri" w:hAnsi="Calibri"/>
          <w:b w:val="0"/>
          <w:sz w:val="21"/>
        </w:rPr>
        <w:t>Caisson is reported to remain pre-sale, and no customer revenue is included in the historical reconstruction.</w:t>
      </w:r>
    </w:p>
    <w:p>
      <w:pPr>
        <w:keepLines w:val="0"/>
        <w:widowControl/>
      </w:pPr>
      <w:r>
        <w:rPr>
          <w:rFonts w:ascii="Calibri" w:hAnsi="Calibri"/>
          <w:b w:val="0"/>
          <w:sz w:val="22"/>
        </w:rPr>
        <w:t>Vik's no-repayment intent narrows the factual inquiry but does not by itself determine whether a payment was a gift, a contribution by another person, a direct payment on behalf of the company, or a personal expenditure. Counsel should identify the legal pathway, and the CPA should determine the resulting tax and accounting treatment.</w:t>
      </w:r>
    </w:p>
    <w:p>
      <w:pPr>
        <w:pStyle w:val="Heading1"/>
        <w:pageBreakBefore w:val="0"/>
      </w:pPr>
      <w:r>
        <w:rPr>
          <w:rFonts w:ascii="Calibri" w:hAnsi="Calibri"/>
          <w:b/>
        </w:rPr>
        <w:t>4. Workbook snapshot</w:t>
      </w:r>
    </w:p>
    <w:p>
      <w:pPr>
        <w:keepLines w:val="0"/>
        <w:widowControl/>
      </w:pPr>
      <w:r>
        <w:rPr>
          <w:rFonts w:ascii="Calibri" w:hAnsi="Calibri"/>
          <w:b w:val="0"/>
          <w:sz w:val="22"/>
        </w:rPr>
        <w:t xml:space="preserve">The workbook is the current family-supplied reconstruction for CPA review. Its embedded label remains </w:t>
      </w:r>
      <w:r>
        <w:rPr>
          <w:rFonts w:ascii="Consolas" w:hAnsi="Consolas"/>
          <w:color w:val="1F4D78"/>
          <w:sz w:val="21"/>
        </w:rPr>
        <w:t>DRAFT - UNREVIEWED</w:t>
      </w:r>
      <w:r>
        <w:rPr>
          <w:rFonts w:ascii="Calibri" w:hAnsi="Calibri"/>
          <w:b w:val="0"/>
          <w:sz w:val="22"/>
        </w:rPr>
        <w:t>, and it is not a ledger. It contains 647 source transactions across the two connected Amex and Current feeds. The following January through July 11, 2026 amounts are proposed review classifications, not final ledger balances or tax deductions:</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2100"/>
        <w:gridCol w:w="7260"/>
      </w:tblGrid>
      <w:tr>
        <w:trPr>
          <w:cantSplit w:val="true"/>
          <w:tblHeader w:val="true"/>
        </w:trPr>
        <w:tc>
          <w:tcPr>
            <w:tcW w:type="dxa" w:w="2100"/>
            <w:vAlign w:val="center"/>
            <w:shd w:fill="F2F4F7"/>
            <w:tcMar>
              <w:top w:w="80" w:type="dxa"/>
              <w:bottom w:w="80" w:type="dxa"/>
              <w:start w:w="120" w:type="dxa"/>
              <w:end w:w="120" w:type="dxa"/>
            </w:tcMar>
          </w:tcPr>
          <w:p>
            <w:pPr>
              <w:pStyle w:val="TableText"/>
              <w:jc w:val="left"/>
            </w:pPr>
            <w:r>
              <w:rPr>
                <w:rFonts w:ascii="Calibri" w:hAnsi="Calibri"/>
                <w:b/>
                <w:color w:val="18324B"/>
                <w:sz w:val="17"/>
              </w:rPr>
              <w:t>Proposed business-status classification</w:t>
            </w:r>
          </w:p>
        </w:tc>
        <w:tc>
          <w:tcPr>
            <w:tcW w:type="dxa" w:w="7260"/>
            <w:vAlign w:val="center"/>
            <w:shd w:fill="F2F4F7"/>
            <w:tcMar>
              <w:top w:w="80" w:type="dxa"/>
              <w:bottom w:w="80" w:type="dxa"/>
              <w:start w:w="120" w:type="dxa"/>
              <w:end w:w="120" w:type="dxa"/>
            </w:tcMar>
          </w:tcPr>
          <w:p>
            <w:pPr>
              <w:pStyle w:val="TableText"/>
              <w:jc w:val="left"/>
            </w:pPr>
            <w:r>
              <w:rPr>
                <w:rFonts w:ascii="Calibri" w:hAnsi="Calibri"/>
                <w:b/>
                <w:color w:val="18324B"/>
                <w:sz w:val="17"/>
              </w:rPr>
              <w:t>Amount</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Business</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$5,995.71</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Mixed</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$937.85</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Uncertain</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$10,909.17</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Personal</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$3,763.21</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Total classified activity</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$21,605.94</w:t>
            </w:r>
          </w:p>
        </w:tc>
      </w:tr>
    </w:tbl>
    <w:p>
      <w:pPr>
        <w:spacing w:after="40"/>
      </w:pPr>
    </w:p>
    <w:p>
      <w:pPr>
        <w:keepLines w:val="0"/>
        <w:widowControl/>
      </w:pPr>
      <w:r>
        <w:rPr>
          <w:rFonts w:ascii="Calibri" w:hAnsi="Calibri"/>
          <w:b w:val="0"/>
          <w:sz w:val="22"/>
        </w:rPr>
        <w:t>The workbook identifies 229 startup-cost candidates totaling $12,827.06:</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2100"/>
        <w:gridCol w:w="7260"/>
      </w:tblGrid>
      <w:tr>
        <w:trPr>
          <w:cantSplit w:val="true"/>
          <w:tblHeader w:val="true"/>
        </w:trPr>
        <w:tc>
          <w:tcPr>
            <w:tcW w:type="dxa" w:w="2100"/>
            <w:vAlign w:val="center"/>
            <w:shd w:fill="F2F4F7"/>
            <w:tcMar>
              <w:top w:w="80" w:type="dxa"/>
              <w:bottom w:w="80" w:type="dxa"/>
              <w:start w:w="120" w:type="dxa"/>
              <w:end w:w="120" w:type="dxa"/>
            </w:tcMar>
          </w:tcPr>
          <w:p>
            <w:pPr>
              <w:pStyle w:val="TableText"/>
              <w:jc w:val="left"/>
            </w:pPr>
            <w:r>
              <w:rPr>
                <w:rFonts w:ascii="Calibri" w:hAnsi="Calibri"/>
                <w:b/>
                <w:color w:val="18324B"/>
                <w:sz w:val="17"/>
              </w:rPr>
              <w:t>Source environment</w:t>
            </w:r>
          </w:p>
        </w:tc>
        <w:tc>
          <w:tcPr>
            <w:tcW w:type="dxa" w:w="7260"/>
            <w:vAlign w:val="center"/>
            <w:shd w:fill="F2F4F7"/>
            <w:tcMar>
              <w:top w:w="80" w:type="dxa"/>
              <w:bottom w:w="80" w:type="dxa"/>
              <w:start w:w="120" w:type="dxa"/>
              <w:end w:w="120" w:type="dxa"/>
            </w:tcMar>
          </w:tcPr>
          <w:p>
            <w:pPr>
              <w:pStyle w:val="TableText"/>
              <w:jc w:val="left"/>
            </w:pPr>
            <w:r>
              <w:rPr>
                <w:rFonts w:ascii="Calibri" w:hAnsi="Calibri"/>
                <w:b/>
                <w:color w:val="18324B"/>
                <w:sz w:val="17"/>
              </w:rPr>
              <w:t>Candidate amount</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Amex</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$9,476.41</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Current</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$3,350.65</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Total</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$12,827.06</w:t>
            </w:r>
          </w:p>
        </w:tc>
      </w:tr>
    </w:tbl>
    <w:p>
      <w:pPr>
        <w:spacing w:after="40"/>
      </w:pPr>
    </w:p>
    <w:p>
      <w:pPr>
        <w:keepLines w:val="0"/>
        <w:widowControl/>
      </w:pPr>
      <w:r>
        <w:rPr>
          <w:rFonts w:ascii="Calibri" w:hAnsi="Calibri"/>
          <w:b w:val="0"/>
          <w:sz w:val="22"/>
        </w:rPr>
        <w:t>All 229 startup candidates currently lack a completed business-purpose note. Fourteen advisor questions remain unanswered. These gaps prevent the candidate total from being treated as an approved expense, startup-cost balance, organizational-cost balance, asset basis, contribution, or payable.</w:t>
      </w:r>
    </w:p>
    <w:p>
      <w:pPr>
        <w:keepLines w:val="0"/>
        <w:widowControl/>
      </w:pPr>
      <w:r>
        <w:rPr>
          <w:rFonts w:ascii="Calibri" w:hAnsi="Calibri"/>
          <w:b w:val="0"/>
          <w:sz w:val="22"/>
        </w:rPr>
        <w:t>The personal category is retained for account reconciliation only. It should not be imported to the company books. The mixed and uncertain categories require factual review before the CPA considers accounting treatment.</w:t>
      </w:r>
    </w:p>
    <w:p>
      <w:pPr>
        <w:pStyle w:val="Heading1"/>
        <w:pageBreakBefore w:val="0"/>
      </w:pPr>
      <w:r>
        <w:rPr>
          <w:rFonts w:ascii="Calibri" w:hAnsi="Calibri"/>
          <w:b/>
        </w:rPr>
        <w:t>5. Required legal and tax sequence</w:t>
      </w:r>
    </w:p>
    <w:p>
      <w:pPr>
        <w:keepLines w:val="0"/>
        <w:widowControl/>
      </w:pPr>
      <w:r>
        <w:rPr>
          <w:rFonts w:ascii="Calibri" w:hAnsi="Calibri"/>
          <w:b w:val="0"/>
          <w:sz w:val="22"/>
        </w:rPr>
        <w:t>The work should proceed in this order:</w:t>
      </w:r>
    </w:p>
    <w:p>
      <w:pPr>
        <w:widowControl/>
        <w:numPr>
          <w:ilvl w:val="0"/>
          <w:numId w:val="13"/>
        </w:numPr>
      </w:pPr>
      <w:r>
        <w:rPr>
          <w:rFonts w:ascii="Calibri" w:hAnsi="Calibri"/>
          <w:b w:val="0"/>
          <w:sz w:val="21"/>
        </w:rPr>
        <w:t>Counsel confirms clients, current records, the organizer-resolution effect, and the unsigned Northwest package.</w:t>
      </w:r>
    </w:p>
    <w:p>
      <w:pPr>
        <w:widowControl/>
        <w:numPr>
          <w:ilvl w:val="0"/>
          <w:numId w:val="13"/>
        </w:numPr>
      </w:pPr>
      <w:r>
        <w:rPr>
          <w:rFonts w:ascii="Calibri" w:hAnsi="Calibri"/>
          <w:b w:val="0"/>
          <w:sz w:val="21"/>
        </w:rPr>
        <w:t>Counsel prepares the irrevocable trust, selective ratification, manager-managed articles and operating agreement, assignment, member admission, manager succession, and fixed-handoff package as one draft set.</w:t>
      </w:r>
    </w:p>
    <w:p>
      <w:pPr>
        <w:widowControl/>
        <w:numPr>
          <w:ilvl w:val="0"/>
          <w:numId w:val="13"/>
        </w:numPr>
      </w:pPr>
      <w:r>
        <w:rPr>
          <w:rFonts w:ascii="Calibri" w:hAnsi="Calibri"/>
          <w:b w:val="0"/>
          <w:sz w:val="21"/>
        </w:rPr>
        <w:t>Before execution, the CPA models gift, valuation, basis, grantor-trust, payroll, Georgia, and later-handoff consequences.</w:t>
      </w:r>
    </w:p>
    <w:p>
      <w:pPr>
        <w:widowControl/>
        <w:numPr>
          <w:ilvl w:val="0"/>
          <w:numId w:val="13"/>
        </w:numPr>
      </w:pPr>
      <w:r>
        <w:rPr>
          <w:rFonts w:ascii="Calibri" w:hAnsi="Calibri"/>
          <w:b w:val="0"/>
          <w:sz w:val="21"/>
        </w:rPr>
        <w:t>Counsel revises the legal documents in response to tax advice without changing the locked beneficial objective unless the family expressly approves a change.</w:t>
      </w:r>
    </w:p>
    <w:p>
      <w:pPr>
        <w:widowControl/>
        <w:numPr>
          <w:ilvl w:val="0"/>
          <w:numId w:val="13"/>
        </w:numPr>
      </w:pPr>
      <w:r>
        <w:rPr>
          <w:rFonts w:ascii="Calibri" w:hAnsi="Calibri"/>
          <w:b w:val="0"/>
          <w:sz w:val="21"/>
        </w:rPr>
        <w:t>At closing, Lakshmi adopts the selective ratification and definitive operating agreement, executes and funds the trust, assigns the entire LLC interest to herself solely as trustee, and gives current-member consent to the trustee's substituted-member admission.</w:t>
      </w:r>
    </w:p>
    <w:p>
      <w:pPr>
        <w:widowControl/>
        <w:numPr>
          <w:ilvl w:val="0"/>
          <w:numId w:val="13"/>
        </w:numPr>
      </w:pPr>
      <w:r>
        <w:rPr>
          <w:rFonts w:ascii="Calibri" w:hAnsi="Calibri"/>
          <w:b w:val="0"/>
          <w:sz w:val="21"/>
        </w:rPr>
        <w:t>Lakshmi solely as trustee accepts the interest, consents to membership, joins the operating agreement, and is entered on the member ledger; Lakshmi individually is appointed manager and Vik's separate successor-trustee and successor-manager provisions are established.</w:t>
      </w:r>
    </w:p>
    <w:p>
      <w:pPr>
        <w:widowControl/>
        <w:numPr>
          <w:ilvl w:val="0"/>
          <w:numId w:val="13"/>
        </w:numPr>
      </w:pPr>
      <w:r>
        <w:rPr>
          <w:rFonts w:ascii="Calibri" w:hAnsi="Calibri"/>
          <w:b w:val="0"/>
          <w:sz w:val="21"/>
        </w:rPr>
        <w:t>Counsel confirms the staged adult-consent and admission process intended to make Liam sole member and manager at the exact August 19, 2027 handoff and documents the limited no-gap continuity result if valid adult consent is not then effective.</w:t>
      </w:r>
    </w:p>
    <w:p>
      <w:pPr>
        <w:widowControl/>
        <w:numPr>
          <w:ilvl w:val="0"/>
          <w:numId w:val="13"/>
        </w:numPr>
      </w:pPr>
      <w:r>
        <w:rPr>
          <w:rFonts w:ascii="Calibri" w:hAnsi="Calibri"/>
          <w:b w:val="0"/>
          <w:sz w:val="21"/>
        </w:rPr>
        <w:t>The CPA confirms the effective tax owner, filing obligations, payroll posture, basis records, opening date, and only then approves opening entries.</w:t>
      </w:r>
    </w:p>
    <w:p>
      <w:pPr>
        <w:keepLines w:val="0"/>
        <w:widowControl/>
      </w:pPr>
      <w:r>
        <w:rPr>
          <w:rFonts w:ascii="Calibri" w:hAnsi="Calibri"/>
          <w:b w:val="0"/>
          <w:sz w:val="22"/>
        </w:rPr>
        <w:t>No workbook label, family description, or draft trust provision should be used as a substitute for the executed legal structure.</w:t>
      </w:r>
    </w:p>
    <w:p>
      <w:pPr>
        <w:pStyle w:val="Heading1"/>
        <w:pageBreakBefore w:val="0"/>
      </w:pPr>
      <w:r>
        <w:rPr>
          <w:rFonts w:ascii="Calibri" w:hAnsi="Calibri"/>
          <w:b/>
        </w:rPr>
        <w:t>6. Pre-execution CPA modeling requested</w:t>
      </w:r>
    </w:p>
    <w:p>
      <w:pPr>
        <w:keepLines w:val="0"/>
        <w:widowControl/>
      </w:pPr>
      <w:r>
        <w:rPr>
          <w:rFonts w:ascii="Calibri" w:hAnsi="Calibri"/>
          <w:b w:val="0"/>
          <w:sz w:val="22"/>
        </w:rPr>
        <w:t>For the structure counsel proposes, please provide a short written comparison covering at least the following.</w:t>
      </w:r>
    </w:p>
    <w:p>
      <w:pPr>
        <w:pStyle w:val="Heading2"/>
        <w:pageBreakBefore w:val="0"/>
      </w:pPr>
      <w:r>
        <w:rPr>
          <w:rFonts w:ascii="Calibri" w:hAnsi="Calibri"/>
          <w:b/>
        </w:rPr>
        <w:t>6.1 Transfer, gift, valuation, and basis</w:t>
      </w:r>
    </w:p>
    <w:p>
      <w:pPr>
        <w:widowControl/>
        <w:numPr>
          <w:ilvl w:val="0"/>
          <w:numId w:val="14"/>
        </w:numPr>
      </w:pPr>
      <w:r>
        <w:rPr>
          <w:rFonts w:ascii="Calibri" w:hAnsi="Calibri"/>
          <w:b w:val="0"/>
          <w:sz w:val="21"/>
        </w:rPr>
        <w:t>Counsel should identify the legal transferor, trustee, beneficiary, property transferred, delivery, retained powers, and effective date. The CPA should then determine whether the completed legal acts constitute a completed gift for federal tax purposes, identify the donor and reported donee, and state the required reporting.</w:t>
      </w:r>
    </w:p>
    <w:p>
      <w:pPr>
        <w:widowControl/>
        <w:numPr>
          <w:ilvl w:val="0"/>
          <w:numId w:val="14"/>
        </w:numPr>
      </w:pPr>
      <w:r>
        <w:rPr>
          <w:rFonts w:ascii="Calibri" w:hAnsi="Calibri"/>
          <w:b w:val="0"/>
          <w:sz w:val="21"/>
        </w:rPr>
        <w:t>Determine fair market value using only assets and enforceable rights legally owned or held by Caisson on the valuation date. Do not include Liam's code, documentation, domains, or other IP as company property without chain-of-title evidence. Separately identify the effect of any IP assignment executed before, at, or after trust funding.</w:t>
      </w:r>
    </w:p>
    <w:p>
      <w:pPr>
        <w:widowControl/>
        <w:numPr>
          <w:ilvl w:val="0"/>
          <w:numId w:val="14"/>
        </w:numPr>
      </w:pPr>
      <w:r>
        <w:rPr>
          <w:rFonts w:ascii="Calibri" w:hAnsi="Calibri"/>
          <w:b w:val="0"/>
          <w:sz w:val="21"/>
        </w:rPr>
        <w:t>Whether Form 709 is required or advisable and what attachments are needed for adequate disclosure.</w:t>
      </w:r>
    </w:p>
    <w:p>
      <w:pPr>
        <w:widowControl/>
        <w:numPr>
          <w:ilvl w:val="0"/>
          <w:numId w:val="14"/>
        </w:numPr>
      </w:pPr>
      <w:r>
        <w:rPr>
          <w:rFonts w:ascii="Calibri" w:hAnsi="Calibri"/>
          <w:b w:val="0"/>
          <w:sz w:val="21"/>
        </w:rPr>
        <w:t>Donor basis, donee or trust basis, any dual-basis issue, gift-tax basis adjustment, and the records that must be preserved.</w:t>
      </w:r>
    </w:p>
    <w:p>
      <w:pPr>
        <w:widowControl/>
        <w:numPr>
          <w:ilvl w:val="0"/>
          <w:numId w:val="14"/>
        </w:numPr>
      </w:pPr>
      <w:r>
        <w:rPr>
          <w:rFonts w:ascii="Calibri" w:hAnsi="Calibri"/>
          <w:b w:val="0"/>
          <w:sz w:val="21"/>
        </w:rPr>
        <w:t>Any generation-skipping transfer analysis that the proposed trust terms require.</w:t>
      </w:r>
    </w:p>
    <w:p>
      <w:pPr>
        <w:widowControl/>
        <w:numPr>
          <w:ilvl w:val="0"/>
          <w:numId w:val="14"/>
        </w:numPr>
      </w:pPr>
      <w:r>
        <w:rPr>
          <w:rFonts w:ascii="Calibri" w:hAnsi="Calibri"/>
          <w:b w:val="0"/>
          <w:sz w:val="21"/>
        </w:rPr>
        <w:t>Model the gift, grantor-trust, estate-inclusion, basis, and valuation effects of Liam's vested interest being subject to divestment if he dies before the fixed handoff, with the interest then shifting to Lakshmi. Also model Lakshmi's simultaneous roles as settlor, trustee, and manager and Vik's successor roles.</w:t>
      </w:r>
    </w:p>
    <w:p>
      <w:pPr>
        <w:pStyle w:val="Heading2"/>
        <w:pageBreakBefore w:val="0"/>
      </w:pPr>
      <w:r>
        <w:rPr>
          <w:rFonts w:ascii="Calibri" w:hAnsi="Calibri"/>
          <w:b/>
        </w:rPr>
        <w:t>6.2 Trust income-tax ownership</w:t>
      </w:r>
    </w:p>
    <w:p>
      <w:pPr>
        <w:widowControl/>
        <w:numPr>
          <w:ilvl w:val="0"/>
          <w:numId w:val="15"/>
        </w:numPr>
      </w:pPr>
      <w:r>
        <w:rPr>
          <w:rFonts w:ascii="Calibri" w:hAnsi="Calibri"/>
          <w:b w:val="0"/>
          <w:sz w:val="21"/>
        </w:rPr>
        <w:t>Whether the proposed trust would be wholly or partly a grantor trust, a non-grantor trust, or treated as owned by another person under Internal Revenue Code section 678.</w:t>
      </w:r>
    </w:p>
    <w:p>
      <w:pPr>
        <w:widowControl/>
        <w:numPr>
          <w:ilvl w:val="0"/>
          <w:numId w:val="15"/>
        </w:numPr>
      </w:pPr>
      <w:r>
        <w:rPr>
          <w:rFonts w:ascii="Calibri" w:hAnsi="Calibri"/>
          <w:b w:val="0"/>
          <w:sz w:val="21"/>
        </w:rPr>
        <w:t>Distinguish the Georgia-law member, the trustee holding legal title, the trust beneficiary, and the person treated as owner for federal income-tax purposes; do not infer tax ownership from any one label.</w:t>
      </w:r>
    </w:p>
    <w:p>
      <w:pPr>
        <w:widowControl/>
        <w:numPr>
          <w:ilvl w:val="0"/>
          <w:numId w:val="15"/>
        </w:numPr>
      </w:pPr>
      <w:r>
        <w:rPr>
          <w:rFonts w:ascii="Calibri" w:hAnsi="Calibri"/>
          <w:b w:val="0"/>
          <w:sz w:val="21"/>
        </w:rPr>
        <w:t>Who would report Caisson's income, deductions, credits, and self-employment or other employment-tax items while the LLC remains a disregarded entity, if applicable.</w:t>
      </w:r>
    </w:p>
    <w:p>
      <w:pPr>
        <w:widowControl/>
        <w:numPr>
          <w:ilvl w:val="0"/>
          <w:numId w:val="15"/>
        </w:numPr>
      </w:pPr>
      <w:r>
        <w:rPr>
          <w:rFonts w:ascii="Calibri" w:hAnsi="Calibri"/>
          <w:b w:val="0"/>
          <w:sz w:val="21"/>
        </w:rPr>
        <w:t>Whether Form 1041, grantor-trust reporting, Schedule C, estimated payments, or beneficiary reporting would apply.</w:t>
      </w:r>
    </w:p>
    <w:p>
      <w:pPr>
        <w:widowControl/>
        <w:numPr>
          <w:ilvl w:val="0"/>
          <w:numId w:val="15"/>
        </w:numPr>
      </w:pPr>
      <w:r>
        <w:rPr>
          <w:rFonts w:ascii="Calibri" w:hAnsi="Calibri"/>
          <w:b w:val="0"/>
          <w:sz w:val="21"/>
        </w:rPr>
        <w:t>How distributions, retained income, expenses, and later transfer of the LLC interest should be tracked.</w:t>
      </w:r>
    </w:p>
    <w:p>
      <w:pPr>
        <w:widowControl/>
        <w:numPr>
          <w:ilvl w:val="0"/>
          <w:numId w:val="15"/>
        </w:numPr>
      </w:pPr>
      <w:r>
        <w:rPr>
          <w:rFonts w:ascii="Calibri" w:hAnsi="Calibri"/>
          <w:b w:val="0"/>
          <w:sz w:val="21"/>
        </w:rPr>
        <w:t>Model the August 19, 2027 trust distribution of the LLC interest and Liam's member admission as separate legal steps that may have coordinated but distinct tax and reporting effects.</w:t>
      </w:r>
    </w:p>
    <w:p>
      <w:pPr>
        <w:widowControl/>
        <w:numPr>
          <w:ilvl w:val="0"/>
          <w:numId w:val="15"/>
        </w:numPr>
      </w:pPr>
      <w:r>
        <w:rPr>
          <w:rFonts w:ascii="Calibri" w:hAnsi="Calibri"/>
          <w:b w:val="0"/>
          <w:sz w:val="21"/>
        </w:rPr>
        <w:t>Whether income allocated or distributed to Liam could be unearned income for Form 8615 purposes, including the effect of his age, student status, earned income, and support. Do not assume that all business income or trust income receives one character.</w:t>
      </w:r>
    </w:p>
    <w:p>
      <w:pPr>
        <w:pStyle w:val="Heading2"/>
        <w:pageBreakBefore w:val="0"/>
      </w:pPr>
      <w:r>
        <w:rPr>
          <w:rFonts w:ascii="Calibri" w:hAnsi="Calibri"/>
          <w:b/>
        </w:rPr>
        <w:t>6.3 Payroll and Georgia consequences</w:t>
      </w:r>
    </w:p>
    <w:p>
      <w:pPr>
        <w:widowControl/>
        <w:numPr>
          <w:ilvl w:val="0"/>
          <w:numId w:val="16"/>
        </w:numPr>
      </w:pPr>
      <w:r>
        <w:rPr>
          <w:rFonts w:ascii="Calibri" w:hAnsi="Calibri"/>
          <w:b w:val="0"/>
          <w:sz w:val="21"/>
        </w:rPr>
        <w:t>Identify the employer and payroll start date if Liam becomes an employee.</w:t>
      </w:r>
    </w:p>
    <w:p>
      <w:pPr>
        <w:widowControl/>
        <w:numPr>
          <w:ilvl w:val="0"/>
          <w:numId w:val="16"/>
        </w:numPr>
      </w:pPr>
      <w:r>
        <w:rPr>
          <w:rFonts w:ascii="Calibri" w:hAnsi="Calibri"/>
          <w:b w:val="0"/>
          <w:sz w:val="21"/>
        </w:rPr>
        <w:t>Determine federal income-tax withholding, Social Security, Medicare, FUTA, and information-reporting treatment under the final ownership and tax structure.</w:t>
      </w:r>
    </w:p>
    <w:p>
      <w:pPr>
        <w:widowControl/>
        <w:numPr>
          <w:ilvl w:val="0"/>
          <w:numId w:val="16"/>
        </w:numPr>
      </w:pPr>
      <w:r>
        <w:rPr>
          <w:rFonts w:ascii="Calibri" w:hAnsi="Calibri"/>
          <w:b w:val="0"/>
          <w:sz w:val="21"/>
        </w:rPr>
        <w:t>Determine Georgia withholding, unemployment-insurance, wage-reporting, and other employer registrations.</w:t>
      </w:r>
    </w:p>
    <w:p>
      <w:pPr>
        <w:widowControl/>
        <w:numPr>
          <w:ilvl w:val="0"/>
          <w:numId w:val="16"/>
        </w:numPr>
      </w:pPr>
      <w:r>
        <w:rPr>
          <w:rFonts w:ascii="Calibri" w:hAnsi="Calibri"/>
          <w:b w:val="0"/>
          <w:sz w:val="21"/>
        </w:rPr>
        <w:t>Confirm a supportable wage method based on actual duties, time or task records, and comparable compensation.</w:t>
      </w:r>
    </w:p>
    <w:p>
      <w:pPr>
        <w:widowControl/>
        <w:numPr>
          <w:ilvl w:val="0"/>
          <w:numId w:val="16"/>
        </w:numPr>
      </w:pPr>
      <w:r>
        <w:rPr>
          <w:rFonts w:ascii="Calibri" w:hAnsi="Calibri"/>
          <w:b w:val="0"/>
          <w:sz w:val="21"/>
        </w:rPr>
        <w:t>Keep wages separate from gifts, trust distributions, member distributions, and expense reimbursements.</w:t>
      </w:r>
    </w:p>
    <w:p>
      <w:pPr>
        <w:keepLines w:val="0"/>
        <w:widowControl/>
      </w:pPr>
      <w:r>
        <w:rPr>
          <w:rFonts w:ascii="Calibri" w:hAnsi="Calibri"/>
          <w:b w:val="0"/>
          <w:sz w:val="22"/>
        </w:rPr>
        <w:t>A full-member trust may change the analysis of the parent-child employment-tax exception. The exception should not be assumed merely because Lakshmi is Liam's mother or because the LLC might otherwise be disregarded. The CPA should analyze the actual tax owner, trust terms, entity classification, and employer at the time wages begin.</w:t>
      </w:r>
    </w:p>
    <w:p>
      <w:pPr>
        <w:pStyle w:val="Heading2"/>
        <w:pageBreakBefore w:val="0"/>
      </w:pPr>
      <w:r>
        <w:rPr>
          <w:rFonts w:ascii="Calibri" w:hAnsi="Calibri"/>
          <w:b/>
        </w:rPr>
        <w:t>6.4 Entity classification and S corporation caution</w:t>
      </w:r>
    </w:p>
    <w:p>
      <w:pPr>
        <w:keepLines w:val="0"/>
        <w:widowControl/>
      </w:pPr>
      <w:r>
        <w:rPr>
          <w:rFonts w:ascii="Calibri" w:hAnsi="Calibri"/>
          <w:b w:val="0"/>
          <w:sz w:val="22"/>
        </w:rPr>
        <w:t>No corporate-classification or S corporation election was included in the reviewed records. The current instruction is that no S election is authorized pending written counsel and CPA advice. Please confirm Caisson's current federal and Georgia classification and do not recommend a later S election until counsel has resolved the ownership and trust structure and the CPA has confirmed:</w:t>
      </w:r>
    </w:p>
    <w:p>
      <w:pPr>
        <w:widowControl/>
        <w:numPr>
          <w:ilvl w:val="0"/>
          <w:numId w:val="17"/>
        </w:numPr>
      </w:pPr>
      <w:r>
        <w:rPr>
          <w:rFonts w:ascii="Calibri" w:hAnsi="Calibri"/>
          <w:b w:val="0"/>
          <w:sz w:val="21"/>
        </w:rPr>
        <w:t>That the actual shareholder or deemed owner is eligible.</w:t>
      </w:r>
    </w:p>
    <w:p>
      <w:pPr>
        <w:widowControl/>
        <w:numPr>
          <w:ilvl w:val="0"/>
          <w:numId w:val="17"/>
        </w:numPr>
      </w:pPr>
      <w:r>
        <w:rPr>
          <w:rFonts w:ascii="Calibri" w:hAnsi="Calibri"/>
          <w:b w:val="0"/>
          <w:sz w:val="21"/>
        </w:rPr>
        <w:t>That the trust qualifies under an available S corporation trust category, if applicable.</w:t>
      </w:r>
    </w:p>
    <w:p>
      <w:pPr>
        <w:widowControl/>
        <w:numPr>
          <w:ilvl w:val="0"/>
          <w:numId w:val="17"/>
        </w:numPr>
      </w:pPr>
      <w:r>
        <w:rPr>
          <w:rFonts w:ascii="Calibri" w:hAnsi="Calibri"/>
          <w:b w:val="0"/>
          <w:sz w:val="21"/>
        </w:rPr>
        <w:t>That every required shareholder, beneficiary, trustee, or deemed-owner election and consent can be completed timely.</w:t>
      </w:r>
    </w:p>
    <w:p>
      <w:pPr>
        <w:widowControl/>
        <w:numPr>
          <w:ilvl w:val="0"/>
          <w:numId w:val="17"/>
        </w:numPr>
      </w:pPr>
      <w:r>
        <w:rPr>
          <w:rFonts w:ascii="Calibri" w:hAnsi="Calibri"/>
          <w:b w:val="0"/>
          <w:sz w:val="21"/>
        </w:rPr>
        <w:t>That payroll, reasonable-compensation, distribution, basis, and Georgia consequences support the election.</w:t>
      </w:r>
    </w:p>
    <w:p>
      <w:pPr>
        <w:keepLines w:val="0"/>
        <w:widowControl/>
      </w:pPr>
      <w:r>
        <w:rPr>
          <w:rFonts w:ascii="Calibri" w:hAnsi="Calibri"/>
          <w:b w:val="0"/>
          <w:sz w:val="22"/>
        </w:rPr>
        <w:t>The working position is an S election hold. Any later recommendation must be a separate written decision after trust eligibility, deemed ownership, payroll, reasonable compensation, basis, distributions, and Georgia consequences are resolved.</w:t>
      </w:r>
    </w:p>
    <w:p>
      <w:pPr>
        <w:pStyle w:val="Heading1"/>
        <w:pageBreakBefore w:val="0"/>
      </w:pPr>
      <w:r>
        <w:rPr>
          <w:rFonts w:ascii="Calibri" w:hAnsi="Calibri"/>
          <w:b/>
        </w:rPr>
        <w:t>7. Historical funding position</w:t>
      </w:r>
    </w:p>
    <w:p>
      <w:pPr>
        <w:keepLines w:val="0"/>
        <w:widowControl/>
      </w:pPr>
      <w:r>
        <w:rPr>
          <w:rFonts w:ascii="Calibri" w:hAnsi="Calibri"/>
          <w:b w:val="0"/>
          <w:sz w:val="22"/>
        </w:rPr>
        <w:t>Use the following starting rule unless contrary evidence is produced and approved:</w:t>
      </w:r>
    </w:p>
    <w:p>
      <w:pPr>
        <w:widowControl/>
        <w:numPr>
          <w:ilvl w:val="0"/>
          <w:numId w:val="18"/>
        </w:numPr>
      </w:pPr>
      <w:r>
        <w:rPr>
          <w:rFonts w:ascii="Calibri" w:hAnsi="Calibri"/>
          <w:b w:val="0"/>
          <w:sz w:val="21"/>
        </w:rPr>
        <w:t>Do not book Vik as a member.</w:t>
      </w:r>
    </w:p>
    <w:p>
      <w:pPr>
        <w:widowControl/>
        <w:numPr>
          <w:ilvl w:val="0"/>
          <w:numId w:val="18"/>
        </w:numPr>
      </w:pPr>
      <w:r>
        <w:rPr>
          <w:rFonts w:ascii="Calibri" w:hAnsi="Calibri"/>
          <w:b w:val="0"/>
          <w:sz w:val="21"/>
        </w:rPr>
        <w:t>Do not book Vik as a current member merely because he is designated successor trustee and successor manager; those contingent roles create no present membership, capital, creditor, or compensation entry.</w:t>
      </w:r>
    </w:p>
    <w:p>
      <w:pPr>
        <w:widowControl/>
        <w:numPr>
          <w:ilvl w:val="0"/>
          <w:numId w:val="18"/>
        </w:numPr>
      </w:pPr>
      <w:r>
        <w:rPr>
          <w:rFonts w:ascii="Calibri" w:hAnsi="Calibri"/>
          <w:b w:val="0"/>
          <w:sz w:val="21"/>
        </w:rPr>
        <w:t>Do not book a loan payable to Vik.</w:t>
      </w:r>
    </w:p>
    <w:p>
      <w:pPr>
        <w:widowControl/>
        <w:numPr>
          <w:ilvl w:val="0"/>
          <w:numId w:val="18"/>
        </w:numPr>
      </w:pPr>
      <w:r>
        <w:rPr>
          <w:rFonts w:ascii="Calibri" w:hAnsi="Calibri"/>
          <w:b w:val="0"/>
          <w:sz w:val="21"/>
        </w:rPr>
        <w:t>Do not book a reimbursement payable to Vik.</w:t>
      </w:r>
    </w:p>
    <w:p>
      <w:pPr>
        <w:widowControl/>
        <w:numPr>
          <w:ilvl w:val="0"/>
          <w:numId w:val="18"/>
        </w:numPr>
      </w:pPr>
      <w:r>
        <w:rPr>
          <w:rFonts w:ascii="Calibri" w:hAnsi="Calibri"/>
          <w:b w:val="0"/>
          <w:sz w:val="21"/>
        </w:rPr>
        <w:t>Do not credit member capital to Vik.</w:t>
      </w:r>
    </w:p>
    <w:p>
      <w:pPr>
        <w:widowControl/>
        <w:numPr>
          <w:ilvl w:val="0"/>
          <w:numId w:val="18"/>
        </w:numPr>
      </w:pPr>
      <w:r>
        <w:rPr>
          <w:rFonts w:ascii="Calibri" w:hAnsi="Calibri"/>
          <w:b w:val="0"/>
          <w:sz w:val="21"/>
        </w:rPr>
        <w:t>Do not relabel weekly support, larger deposits, or personal gifts as wages or company funding.</w:t>
      </w:r>
    </w:p>
    <w:p>
      <w:pPr>
        <w:keepLines w:val="0"/>
        <w:widowControl/>
      </w:pPr>
      <w:r>
        <w:rPr>
          <w:rFonts w:ascii="Calibri" w:hAnsi="Calibri"/>
          <w:b w:val="0"/>
          <w:sz w:val="22"/>
        </w:rPr>
        <w:t>For each supported Caisson cost paid from a personal account, first determine the factual payer and benefited party. Then hold the balance-sheet treatment open until counsel identifies the lawful transfer path and the CPA approves the accounting treatment. If the CPA uses a temporary clearing account, it should be separately labeled, reconciled, and resolved before final books are issued.</w:t>
      </w:r>
    </w:p>
    <w:p>
      <w:pPr>
        <w:pStyle w:val="Heading1"/>
        <w:pageBreakBefore w:val="0"/>
      </w:pPr>
      <w:r>
        <w:rPr>
          <w:rFonts w:ascii="Calibri" w:hAnsi="Calibri"/>
          <w:b/>
        </w:rPr>
        <w:t>8. Concise factual gaps</w:t>
      </w:r>
    </w:p>
    <w:p>
      <w:pPr>
        <w:keepLines w:val="0"/>
        <w:widowControl/>
      </w:pPr>
      <w:r>
        <w:rPr>
          <w:rFonts w:ascii="Calibri" w:hAnsi="Calibri"/>
          <w:b w:val="0"/>
          <w:sz w:val="22"/>
        </w:rPr>
        <w:t>The family should answer these factual questions without choosing tax labels:</w:t>
      </w:r>
    </w:p>
    <w:p>
      <w:pPr>
        <w:widowControl/>
        <w:numPr>
          <w:ilvl w:val="0"/>
          <w:numId w:val="19"/>
        </w:numPr>
      </w:pPr>
      <w:r>
        <w:rPr>
          <w:rFonts w:ascii="Calibri" w:hAnsi="Calibri"/>
          <w:b w:val="0"/>
          <w:sz w:val="21"/>
        </w:rPr>
        <w:t>Who is the legal owner of the Current account, and what exact account-owner metadata appears in the source?</w:t>
      </w:r>
    </w:p>
    <w:p>
      <w:pPr>
        <w:widowControl/>
        <w:numPr>
          <w:ilvl w:val="0"/>
          <w:numId w:val="19"/>
        </w:numPr>
      </w:pPr>
      <w:r>
        <w:rPr>
          <w:rFonts w:ascii="Calibri" w:hAnsi="Calibri"/>
          <w:b w:val="0"/>
          <w:sz w:val="21"/>
        </w:rPr>
        <w:t>What is Liam's Amex status: authorized user, additional cardholder, employee cardholder, or another arrangement?</w:t>
      </w:r>
    </w:p>
    <w:p>
      <w:pPr>
        <w:widowControl/>
        <w:numPr>
          <w:ilvl w:val="0"/>
          <w:numId w:val="19"/>
        </w:numPr>
      </w:pPr>
      <w:r>
        <w:rPr>
          <w:rFonts w:ascii="Calibri" w:hAnsi="Calibri"/>
          <w:b w:val="0"/>
          <w:sz w:val="21"/>
        </w:rPr>
        <w:t>Who paid each Amex statement, and did anyone reimburse any portion?</w:t>
      </w:r>
    </w:p>
    <w:p>
      <w:pPr>
        <w:widowControl/>
        <w:numPr>
          <w:ilvl w:val="0"/>
          <w:numId w:val="19"/>
        </w:numPr>
      </w:pPr>
      <w:r>
        <w:rPr>
          <w:rFonts w:ascii="Calibri" w:hAnsi="Calibri"/>
          <w:b w:val="0"/>
          <w:sz w:val="21"/>
        </w:rPr>
        <w:t>Who is Usha Thadani, what relationship does she have to the family or company, and which transactions or deposits involving her relate to Caisson, if any?</w:t>
      </w:r>
    </w:p>
    <w:p>
      <w:pPr>
        <w:widowControl/>
        <w:numPr>
          <w:ilvl w:val="0"/>
          <w:numId w:val="19"/>
        </w:numPr>
      </w:pPr>
      <w:r>
        <w:rPr>
          <w:rFonts w:ascii="Calibri" w:hAnsi="Calibri"/>
          <w:b w:val="0"/>
          <w:sz w:val="21"/>
        </w:rPr>
        <w:t>For each larger Current deposit, who sent it, on what date, with what memo, for what stated purpose, and with what expectation, if any, of repayment?</w:t>
      </w:r>
    </w:p>
    <w:p>
      <w:pPr>
        <w:widowControl/>
        <w:numPr>
          <w:ilvl w:val="0"/>
          <w:numId w:val="19"/>
        </w:numPr>
      </w:pPr>
      <w:r>
        <w:rPr>
          <w:rFonts w:ascii="Calibri" w:hAnsi="Calibri"/>
          <w:b w:val="0"/>
          <w:sz w:val="21"/>
        </w:rPr>
        <w:t>Were the approximately $200 weekly transfers general family support, a purchase-specific advance, a personal gift, or something else as a factual matter?</w:t>
      </w:r>
    </w:p>
    <w:p>
      <w:pPr>
        <w:widowControl/>
        <w:numPr>
          <w:ilvl w:val="0"/>
          <w:numId w:val="19"/>
        </w:numPr>
      </w:pPr>
      <w:r>
        <w:rPr>
          <w:rFonts w:ascii="Calibri" w:hAnsi="Calibri"/>
          <w:b w:val="0"/>
          <w:sz w:val="21"/>
        </w:rPr>
        <w:t>For each of the 229 startup candidates, what was purchased, what Caisson activity did it support, who used it, and where is the receipt or invoice?</w:t>
      </w:r>
    </w:p>
    <w:p>
      <w:pPr>
        <w:widowControl/>
        <w:numPr>
          <w:ilvl w:val="0"/>
          <w:numId w:val="19"/>
        </w:numPr>
      </w:pPr>
      <w:r>
        <w:rPr>
          <w:rFonts w:ascii="Calibri" w:hAnsi="Calibri"/>
          <w:b w:val="0"/>
          <w:sz w:val="21"/>
        </w:rPr>
        <w:t>Which purchases were returned, refunded, mixed-use, or personally retained?</w:t>
      </w:r>
    </w:p>
    <w:p>
      <w:pPr>
        <w:widowControl/>
        <w:numPr>
          <w:ilvl w:val="0"/>
          <w:numId w:val="19"/>
        </w:numPr>
      </w:pPr>
      <w:r>
        <w:rPr>
          <w:rFonts w:ascii="Calibri" w:hAnsi="Calibri"/>
          <w:b w:val="0"/>
          <w:sz w:val="21"/>
        </w:rPr>
        <w:t>Who owns or controls each domain, software subscription, device, repository, and other asset associated with a candidate cost?</w:t>
      </w:r>
    </w:p>
    <w:p>
      <w:pPr>
        <w:widowControl/>
        <w:numPr>
          <w:ilvl w:val="0"/>
          <w:numId w:val="19"/>
        </w:numPr>
      </w:pPr>
      <w:r>
        <w:rPr>
          <w:rFonts w:ascii="Calibri" w:hAnsi="Calibri"/>
          <w:b w:val="0"/>
          <w:sz w:val="21"/>
        </w:rPr>
        <w:t>Are any cash, crypto, payment-platform, or other financial accounts omitted from the workbook?</w:t>
      </w:r>
    </w:p>
    <w:p>
      <w:pPr>
        <w:pStyle w:val="Heading1"/>
        <w:pageBreakBefore w:val="0"/>
      </w:pPr>
      <w:r>
        <w:rPr>
          <w:rFonts w:ascii="Calibri" w:hAnsi="Calibri"/>
          <w:b/>
        </w:rPr>
        <w:t>9. Workbook review and approval workflow</w:t>
      </w:r>
    </w:p>
    <w:p>
      <w:pPr>
        <w:widowControl/>
        <w:numPr>
          <w:ilvl w:val="0"/>
          <w:numId w:val="20"/>
        </w:numPr>
      </w:pPr>
      <w:r>
        <w:rPr>
          <w:rFonts w:ascii="Calibri" w:hAnsi="Calibri"/>
          <w:b w:val="0"/>
          <w:sz w:val="21"/>
        </w:rPr>
        <w:t>Preserve the raw transaction sheet and source IDs without alteration.</w:t>
      </w:r>
    </w:p>
    <w:p>
      <w:pPr>
        <w:widowControl/>
        <w:numPr>
          <w:ilvl w:val="0"/>
          <w:numId w:val="20"/>
        </w:numPr>
      </w:pPr>
      <w:r>
        <w:rPr>
          <w:rFonts w:ascii="Calibri" w:hAnsi="Calibri"/>
          <w:b w:val="0"/>
          <w:sz w:val="21"/>
        </w:rPr>
        <w:t>Verify that the 647 transactions cover the intended accounts and cutoff and reconcile them to available statements.</w:t>
      </w:r>
    </w:p>
    <w:p>
      <w:pPr>
        <w:widowControl/>
        <w:numPr>
          <w:ilvl w:val="0"/>
          <w:numId w:val="20"/>
        </w:numPr>
      </w:pPr>
      <w:r>
        <w:rPr>
          <w:rFonts w:ascii="Calibri" w:hAnsi="Calibri"/>
          <w:b w:val="0"/>
          <w:sz w:val="21"/>
        </w:rPr>
        <w:t>Resolve transfers, card payments, refunds, reversals, and duplicates so none is counted twice.</w:t>
      </w:r>
    </w:p>
    <w:p>
      <w:pPr>
        <w:widowControl/>
        <w:numPr>
          <w:ilvl w:val="0"/>
          <w:numId w:val="20"/>
        </w:numPr>
      </w:pPr>
      <w:r>
        <w:rPr>
          <w:rFonts w:ascii="Calibri" w:hAnsi="Calibri"/>
          <w:b w:val="0"/>
          <w:sz w:val="21"/>
        </w:rPr>
        <w:t>Obtain a business-purpose note for every one of the 229 startup candidates.</w:t>
      </w:r>
    </w:p>
    <w:p>
      <w:pPr>
        <w:widowControl/>
        <w:numPr>
          <w:ilvl w:val="0"/>
          <w:numId w:val="20"/>
        </w:numPr>
      </w:pPr>
      <w:r>
        <w:rPr>
          <w:rFonts w:ascii="Calibri" w:hAnsi="Calibri"/>
          <w:b w:val="0"/>
          <w:sz w:val="21"/>
        </w:rPr>
        <w:t>Link receipts, invoices, contracts, and ownership evidence by source transaction ID.</w:t>
      </w:r>
    </w:p>
    <w:p>
      <w:pPr>
        <w:widowControl/>
        <w:numPr>
          <w:ilvl w:val="0"/>
          <w:numId w:val="20"/>
        </w:numPr>
      </w:pPr>
      <w:r>
        <w:rPr>
          <w:rFonts w:ascii="Calibri" w:hAnsi="Calibri"/>
          <w:b w:val="0"/>
          <w:sz w:val="21"/>
        </w:rPr>
        <w:t>Record Liam's, Vik's, Lakshmi's, and Usha's factual responses in additive review fields without overwriting the original proposal.</w:t>
      </w:r>
    </w:p>
    <w:p>
      <w:pPr>
        <w:widowControl/>
        <w:numPr>
          <w:ilvl w:val="0"/>
          <w:numId w:val="20"/>
        </w:numPr>
      </w:pPr>
      <w:r>
        <w:rPr>
          <w:rFonts w:ascii="Calibri" w:hAnsi="Calibri"/>
          <w:b w:val="0"/>
          <w:sz w:val="21"/>
        </w:rPr>
        <w:t>Have the CPA decide expense, startup, organizational, asset, subscription, personal, and unresolved treatment.</w:t>
      </w:r>
    </w:p>
    <w:p>
      <w:pPr>
        <w:widowControl/>
        <w:numPr>
          <w:ilvl w:val="0"/>
          <w:numId w:val="20"/>
        </w:numPr>
      </w:pPr>
      <w:r>
        <w:rPr>
          <w:rFonts w:ascii="Calibri" w:hAnsi="Calibri"/>
          <w:b w:val="0"/>
          <w:sz w:val="21"/>
        </w:rPr>
        <w:t>Have counsel and the CPA resolve the funding path separately from the expense classification.</w:t>
      </w:r>
    </w:p>
    <w:p>
      <w:pPr>
        <w:widowControl/>
        <w:numPr>
          <w:ilvl w:val="0"/>
          <w:numId w:val="20"/>
        </w:numPr>
      </w:pPr>
      <w:r>
        <w:rPr>
          <w:rFonts w:ascii="Calibri" w:hAnsi="Calibri"/>
          <w:b w:val="0"/>
          <w:sz w:val="21"/>
        </w:rPr>
        <w:t>Lock a CPA-reviewed version with a new filename, review date, reviewer, and SHA-256 hash.</w:t>
      </w:r>
    </w:p>
    <w:p>
      <w:pPr>
        <w:widowControl/>
        <w:numPr>
          <w:ilvl w:val="0"/>
          <w:numId w:val="20"/>
        </w:numPr>
      </w:pPr>
      <w:r>
        <w:rPr>
          <w:rFonts w:ascii="Calibri" w:hAnsi="Calibri"/>
          <w:b w:val="0"/>
          <w:sz w:val="21"/>
        </w:rPr>
        <w:t>Prepare opening entries only from the approved version and preserve a crosswalk from every entry to source transaction IDs.</w:t>
      </w:r>
    </w:p>
    <w:p>
      <w:pPr>
        <w:keepLines w:val="0"/>
        <w:widowControl/>
      </w:pPr>
      <w:r>
        <w:rPr>
          <w:rFonts w:ascii="Calibri" w:hAnsi="Calibri"/>
          <w:b w:val="0"/>
          <w:sz w:val="22"/>
        </w:rPr>
        <w:t>No uncertain item should become final merely because its merchant appears business-related. No amount should be treated as deductible without CPA approval.</w:t>
      </w:r>
    </w:p>
    <w:p>
      <w:pPr>
        <w:pStyle w:val="Heading1"/>
        <w:pageBreakBefore w:val="0"/>
      </w:pPr>
      <w:r>
        <w:rPr>
          <w:rFonts w:ascii="Calibri" w:hAnsi="Calibri"/>
          <w:b/>
        </w:rPr>
        <w:t>10. Requested CPA deliverables</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2100"/>
        <w:gridCol w:w="7260"/>
      </w:tblGrid>
      <w:tr>
        <w:trPr>
          <w:cantSplit w:val="true"/>
          <w:tblHeader w:val="true"/>
        </w:trPr>
        <w:tc>
          <w:tcPr>
            <w:tcW w:type="dxa" w:w="2100"/>
            <w:vAlign w:val="center"/>
            <w:shd w:fill="F2F4F7"/>
            <w:tcMar>
              <w:top w:w="80" w:type="dxa"/>
              <w:bottom w:w="80" w:type="dxa"/>
              <w:start w:w="120" w:type="dxa"/>
              <w:end w:w="120" w:type="dxa"/>
            </w:tcMar>
          </w:tcPr>
          <w:p>
            <w:pPr>
              <w:pStyle w:val="TableText"/>
              <w:jc w:val="left"/>
            </w:pPr>
            <w:r>
              <w:rPr>
                <w:rFonts w:ascii="Calibri" w:hAnsi="Calibri"/>
                <w:b/>
                <w:color w:val="18324B"/>
                <w:sz w:val="17"/>
              </w:rPr>
              <w:t>ID</w:t>
            </w:r>
          </w:p>
        </w:tc>
        <w:tc>
          <w:tcPr>
            <w:tcW w:type="dxa" w:w="7260"/>
            <w:vAlign w:val="center"/>
            <w:shd w:fill="F2F4F7"/>
            <w:tcMar>
              <w:top w:w="80" w:type="dxa"/>
              <w:bottom w:w="80" w:type="dxa"/>
              <w:start w:w="120" w:type="dxa"/>
              <w:end w:w="120" w:type="dxa"/>
            </w:tcMar>
          </w:tcPr>
          <w:p>
            <w:pPr>
              <w:pStyle w:val="TableText"/>
              <w:jc w:val="left"/>
            </w:pPr>
            <w:r>
              <w:rPr>
                <w:rFonts w:ascii="Calibri" w:hAnsi="Calibri"/>
                <w:b/>
                <w:color w:val="18324B"/>
                <w:sz w:val="17"/>
              </w:rPr>
              <w:t>Requested output</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CPA-01</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Engagement-boundary confirmation identifying the client, authorized instructors, recipients, and filing responsibilities</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CPA-02</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Pre-execution comparison of the proposed trust's gift, valuation, Form 709, basis, grantor or non-grantor, section 678, Form 8615, payroll, and Georgia consequences</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CPA-03</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Written confirmation of current entity classification and an S election hold; any later recommendation must follow completed trust-owner eligibility and payroll analysis</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CPA-04</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Valuation and adequate-disclosure document request list for any proposed gift of the LLC interest</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CPA-05</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Payroll setup memo identifying employer, effective date, registrations, taxes, records, and compensation method</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CPA-06</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Workbook exceptions report covering reconciliation differences, missing support, mixed-use items, uncertain items, and the 14 unanswered advisor questions</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CPA-07</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Approved transaction-classification schedule and funding-treatment schedule, kept as separate analyses</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CPA-08</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Opening-books memo with accounting method, start date, chart of accounts, approved journal entries, and transaction-ID crosswalk</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CPA-09</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Federal and Georgia filing calendar for the company, relevant owner or trust, payroll, gift tax, and estimated payments</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CPA-10</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List of decisions that must return to counsel before execution or posting</w:t>
            </w:r>
          </w:p>
        </w:tc>
      </w:tr>
    </w:tbl>
    <w:p>
      <w:pPr>
        <w:spacing w:after="40"/>
      </w:pPr>
    </w:p>
    <w:p>
      <w:pPr>
        <w:pStyle w:val="Heading1"/>
        <w:pageBreakBefore w:val="0"/>
      </w:pPr>
      <w:r>
        <w:rPr>
          <w:rFonts w:ascii="Calibri" w:hAnsi="Calibri"/>
          <w:b/>
        </w:rPr>
        <w:t>11. Privacy and exhibit handling</w:t>
      </w:r>
    </w:p>
    <w:p>
      <w:pPr>
        <w:widowControl/>
        <w:numPr>
          <w:ilvl w:val="0"/>
          <w:numId w:val="21"/>
        </w:numPr>
      </w:pPr>
      <w:r>
        <w:rPr>
          <w:rFonts w:ascii="Calibri" w:hAnsi="Calibri"/>
          <w:b w:val="0"/>
          <w:sz w:val="21"/>
        </w:rPr>
        <w:t>Treat the full workbook as a restricted exhibit, not an attachment for general circulation.</w:t>
      </w:r>
    </w:p>
    <w:p>
      <w:pPr>
        <w:widowControl/>
        <w:numPr>
          <w:ilvl w:val="0"/>
          <w:numId w:val="21"/>
        </w:numPr>
      </w:pPr>
      <w:r>
        <w:rPr>
          <w:rFonts w:ascii="Calibri" w:hAnsi="Calibri"/>
          <w:b w:val="0"/>
          <w:sz w:val="21"/>
        </w:rPr>
        <w:t>Use masked account aliases; do not reproduce full card or account numbers, login data, SSNs, or tax IDs.</w:t>
      </w:r>
    </w:p>
    <w:p>
      <w:pPr>
        <w:widowControl/>
        <w:numPr>
          <w:ilvl w:val="0"/>
          <w:numId w:val="21"/>
        </w:numPr>
      </w:pPr>
      <w:r>
        <w:rPr>
          <w:rFonts w:ascii="Calibri" w:hAnsi="Calibri"/>
          <w:b w:val="0"/>
          <w:sz w:val="21"/>
        </w:rPr>
        <w:t>Keep unrelated personal merchant details out of the narrative packet. Retain them only where needed for reconciliation.</w:t>
      </w:r>
    </w:p>
    <w:p>
      <w:pPr>
        <w:widowControl/>
        <w:numPr>
          <w:ilvl w:val="0"/>
          <w:numId w:val="21"/>
        </w:numPr>
      </w:pPr>
      <w:r>
        <w:rPr>
          <w:rFonts w:ascii="Calibri" w:hAnsi="Calibri"/>
          <w:b w:val="0"/>
          <w:sz w:val="21"/>
        </w:rPr>
        <w:t>Obtain Vik's express authorization before sharing Amex transaction details beyond the defined CPA engagement.</w:t>
      </w:r>
    </w:p>
    <w:p>
      <w:pPr>
        <w:widowControl/>
        <w:numPr>
          <w:ilvl w:val="0"/>
          <w:numId w:val="21"/>
        </w:numPr>
      </w:pPr>
      <w:r>
        <w:rPr>
          <w:rFonts w:ascii="Calibri" w:hAnsi="Calibri"/>
          <w:b w:val="0"/>
          <w:sz w:val="21"/>
        </w:rPr>
        <w:t>Store receipts containing personal addresses, medical information, or other sensitive data separately and reference them by document ID.</w:t>
      </w:r>
    </w:p>
    <w:p>
      <w:pPr>
        <w:widowControl/>
        <w:numPr>
          <w:ilvl w:val="0"/>
          <w:numId w:val="21"/>
        </w:numPr>
      </w:pPr>
      <w:r>
        <w:rPr>
          <w:rFonts w:ascii="Calibri" w:hAnsi="Calibri"/>
          <w:b w:val="0"/>
          <w:sz w:val="21"/>
        </w:rPr>
        <w:t>Limit Liam's full date of birth and taxpayer information to payroll or tax files that require it.</w:t>
      </w:r>
    </w:p>
    <w:p>
      <w:pPr>
        <w:widowControl/>
        <w:numPr>
          <w:ilvl w:val="0"/>
          <w:numId w:val="21"/>
        </w:numPr>
      </w:pPr>
      <w:r>
        <w:rPr>
          <w:rFonts w:ascii="Calibri" w:hAnsi="Calibri"/>
          <w:b w:val="0"/>
          <w:sz w:val="21"/>
        </w:rPr>
        <w:t>Maintain a distribution log for the workbook and any extracts.</w:t>
      </w:r>
    </w:p>
    <w:p>
      <w:pPr>
        <w:widowControl/>
        <w:numPr>
          <w:ilvl w:val="0"/>
          <w:numId w:val="21"/>
        </w:numPr>
      </w:pPr>
      <w:r>
        <w:rPr>
          <w:rFonts w:ascii="Calibri" w:hAnsi="Calibri"/>
          <w:b w:val="0"/>
          <w:sz w:val="21"/>
        </w:rPr>
        <w:t>Do not assume attorney-client privilege or tax-practitioner privilege. Counsel and the CPA should define the purpose, recipients, and handling of each communication.</w:t>
      </w:r>
    </w:p>
    <w:p>
      <w:pPr>
        <w:pStyle w:val="Heading1"/>
        <w:pageBreakBefore w:val="0"/>
      </w:pPr>
      <w:r>
        <w:rPr>
          <w:rFonts w:ascii="Calibri" w:hAnsi="Calibri"/>
          <w:b/>
        </w:rPr>
        <w:t>12. Acceptance checks before opening entries</w:t>
      </w:r>
    </w:p>
    <w:p>
      <w:pPr>
        <w:keepLines w:val="0"/>
        <w:widowControl/>
      </w:pPr>
      <w:r>
        <w:rPr>
          <w:rFonts w:ascii="Calibri" w:hAnsi="Calibri"/>
          <w:b w:val="0"/>
          <w:sz w:val="22"/>
        </w:rPr>
        <w:t>The CPA-approved package should satisfy all of the following:</w:t>
      </w:r>
    </w:p>
    <w:p>
      <w:pPr>
        <w:widowControl/>
        <w:numPr>
          <w:ilvl w:val="0"/>
          <w:numId w:val="22"/>
        </w:numPr>
      </w:pPr>
      <w:r>
        <w:rPr>
          <w:rFonts w:ascii="Calibri" w:hAnsi="Calibri"/>
          <w:b w:val="0"/>
          <w:sz w:val="21"/>
        </w:rPr>
        <w:t>The engagement boundary is written and identifies who the CPA represents.</w:t>
      </w:r>
    </w:p>
    <w:p>
      <w:pPr>
        <w:widowControl/>
        <w:numPr>
          <w:ilvl w:val="0"/>
          <w:numId w:val="22"/>
        </w:numPr>
      </w:pPr>
      <w:r>
        <w:rPr>
          <w:rFonts w:ascii="Calibri" w:hAnsi="Calibri"/>
          <w:b w:val="0"/>
          <w:sz w:val="21"/>
        </w:rPr>
        <w:t>Counsel has documented the organizer-resolution and unsigned-operating-agreement status and completed selective ratification and express supersession.</w:t>
      </w:r>
    </w:p>
    <w:p>
      <w:pPr>
        <w:widowControl/>
        <w:numPr>
          <w:ilvl w:val="0"/>
          <w:numId w:val="22"/>
        </w:numPr>
      </w:pPr>
      <w:r>
        <w:rPr>
          <w:rFonts w:ascii="Calibri" w:hAnsi="Calibri"/>
          <w:b w:val="0"/>
          <w:sz w:val="21"/>
        </w:rPr>
        <w:t>The executed trust, LLC-interest assignment, current-member consent, trustee acceptance and joinder, substituted-member admission, manager appointment, and updated member ledger all use the same effective date and fiduciary capacity.</w:t>
      </w:r>
    </w:p>
    <w:p>
      <w:pPr>
        <w:widowControl/>
        <w:numPr>
          <w:ilvl w:val="0"/>
          <w:numId w:val="22"/>
        </w:numPr>
      </w:pPr>
      <w:r>
        <w:rPr>
          <w:rFonts w:ascii="Calibri" w:hAnsi="Calibri"/>
          <w:b w:val="0"/>
          <w:sz w:val="21"/>
        </w:rPr>
        <w:t>The CPA completed the pre-execution tax model before those documents were signed and confirmed the resulting tax owner and opening date afterward.</w:t>
      </w:r>
    </w:p>
    <w:p>
      <w:pPr>
        <w:widowControl/>
        <w:numPr>
          <w:ilvl w:val="0"/>
          <w:numId w:val="22"/>
        </w:numPr>
      </w:pPr>
      <w:r>
        <w:rPr>
          <w:rFonts w:ascii="Calibri" w:hAnsi="Calibri"/>
          <w:b w:val="0"/>
          <w:sz w:val="21"/>
        </w:rPr>
        <w:t>Counsel has documented the valid adult-consent and full-member-admission process intended for the exact August 19, 2027 handoff, plus the limited no-gap continuity result if valid adult consent is not then effective.</w:t>
      </w:r>
    </w:p>
    <w:p>
      <w:pPr>
        <w:widowControl/>
        <w:numPr>
          <w:ilvl w:val="0"/>
          <w:numId w:val="22"/>
        </w:numPr>
      </w:pPr>
      <w:r>
        <w:rPr>
          <w:rFonts w:ascii="Calibri" w:hAnsi="Calibri"/>
          <w:b w:val="0"/>
          <w:sz w:val="21"/>
        </w:rPr>
        <w:t>No S election was filed before trust and shareholder eligibility were resolved.</w:t>
      </w:r>
    </w:p>
    <w:p>
      <w:pPr>
        <w:widowControl/>
        <w:numPr>
          <w:ilvl w:val="0"/>
          <w:numId w:val="22"/>
        </w:numPr>
      </w:pPr>
      <w:r>
        <w:rPr>
          <w:rFonts w:ascii="Calibri" w:hAnsi="Calibri"/>
          <w:b w:val="0"/>
          <w:sz w:val="21"/>
        </w:rPr>
        <w:t>Vik is not recorded as a current member, lender, capital contributor, or reimbursable creditor without new evidence and advisor approval; his successor-trustee and successor-manager designations are recorded only as contingent legal roles.</w:t>
      </w:r>
    </w:p>
    <w:p>
      <w:pPr>
        <w:widowControl/>
        <w:numPr>
          <w:ilvl w:val="0"/>
          <w:numId w:val="22"/>
        </w:numPr>
      </w:pPr>
      <w:r>
        <w:rPr>
          <w:rFonts w:ascii="Calibri" w:hAnsi="Calibri"/>
          <w:b w:val="0"/>
          <w:sz w:val="21"/>
        </w:rPr>
        <w:t>All 647 transactions reconcile to the available source record, with explained differences.</w:t>
      </w:r>
    </w:p>
    <w:p>
      <w:pPr>
        <w:widowControl/>
        <w:numPr>
          <w:ilvl w:val="0"/>
          <w:numId w:val="22"/>
        </w:numPr>
      </w:pPr>
      <w:r>
        <w:rPr>
          <w:rFonts w:ascii="Calibri" w:hAnsi="Calibri"/>
          <w:b w:val="0"/>
          <w:sz w:val="21"/>
        </w:rPr>
        <w:t>All 229 startup candidates have a business-purpose response or remain unapproved.</w:t>
      </w:r>
    </w:p>
    <w:p>
      <w:pPr>
        <w:widowControl/>
        <w:numPr>
          <w:ilvl w:val="0"/>
          <w:numId w:val="22"/>
        </w:numPr>
      </w:pPr>
      <w:r>
        <w:rPr>
          <w:rFonts w:ascii="Calibri" w:hAnsi="Calibri"/>
          <w:b w:val="0"/>
          <w:sz w:val="21"/>
        </w:rPr>
        <w:t>The $12,827.06 candidate total is not presented as a deduction or final book balance.</w:t>
      </w:r>
    </w:p>
    <w:p>
      <w:pPr>
        <w:widowControl/>
        <w:numPr>
          <w:ilvl w:val="0"/>
          <w:numId w:val="22"/>
        </w:numPr>
      </w:pPr>
      <w:r>
        <w:rPr>
          <w:rFonts w:ascii="Calibri" w:hAnsi="Calibri"/>
          <w:b w:val="0"/>
          <w:sz w:val="21"/>
        </w:rPr>
        <w:t>Personal, mixed, uncertain, refund, transfer, and card-payment rows are not double-counted.</w:t>
      </w:r>
    </w:p>
    <w:p>
      <w:pPr>
        <w:widowControl/>
        <w:numPr>
          <w:ilvl w:val="0"/>
          <w:numId w:val="22"/>
        </w:numPr>
      </w:pPr>
      <w:r>
        <w:rPr>
          <w:rFonts w:ascii="Calibri" w:hAnsi="Calibri"/>
          <w:b w:val="0"/>
          <w:sz w:val="21"/>
        </w:rPr>
        <w:t>Each approved opening entry traces to source IDs and an advisor decision.</w:t>
      </w:r>
    </w:p>
    <w:p>
      <w:pPr>
        <w:widowControl/>
        <w:numPr>
          <w:ilvl w:val="0"/>
          <w:numId w:val="22"/>
        </w:numPr>
      </w:pPr>
      <w:r>
        <w:rPr>
          <w:rFonts w:ascii="Calibri" w:hAnsi="Calibri"/>
          <w:b w:val="0"/>
          <w:sz w:val="21"/>
        </w:rPr>
        <w:t>Payroll treatment reflects the final owner, trust, entity classification, and employer.</w:t>
      </w:r>
    </w:p>
    <w:p>
      <w:pPr>
        <w:widowControl/>
        <w:numPr>
          <w:ilvl w:val="0"/>
          <w:numId w:val="22"/>
        </w:numPr>
      </w:pPr>
      <w:r>
        <w:rPr>
          <w:rFonts w:ascii="Calibri" w:hAnsi="Calibri"/>
          <w:b w:val="0"/>
          <w:sz w:val="21"/>
        </w:rPr>
        <w:t>Mercury and Paddle entries remain deferred until each platform relationship is approved and operational and actual transactions exist.</w:t>
      </w:r>
    </w:p>
    <w:p>
      <w:pPr>
        <w:widowControl/>
        <w:numPr>
          <w:ilvl w:val="0"/>
          <w:numId w:val="22"/>
        </w:numPr>
      </w:pPr>
      <w:r>
        <w:rPr>
          <w:rFonts w:ascii="Calibri" w:hAnsi="Calibri"/>
          <w:b w:val="0"/>
          <w:sz w:val="21"/>
        </w:rPr>
        <w:t>The final reviewed workbook receives a new filename, review date, reviewer identification, and hash.</w:t>
      </w:r>
    </w:p>
    <w:p>
      <w:pPr>
        <w:pStyle w:val="Heading1"/>
        <w:pageBreakBefore w:val="0"/>
      </w:pPr>
      <w:r>
        <w:rPr>
          <w:rFonts w:ascii="Calibri" w:hAnsi="Calibri"/>
          <w:b/>
        </w:rPr>
        <w:t>13. Official sources for advisor confirmation</w:t>
      </w:r>
    </w:p>
    <w:p>
      <w:pPr>
        <w:keepLines w:val="0"/>
        <w:widowControl/>
      </w:pPr>
      <w:r>
        <w:rPr>
          <w:rFonts w:ascii="Calibri" w:hAnsi="Calibri"/>
          <w:b w:val="0"/>
          <w:sz w:val="22"/>
        </w:rPr>
        <w:t>These sources frame the requested review. The CPA and counsel should apply the versions effective for the actual transaction and filing year.</w:t>
      </w:r>
    </w:p>
    <w:p>
      <w:pPr>
        <w:widowControl/>
        <w:numPr>
          <w:ilvl w:val="0"/>
          <w:numId w:val="23"/>
        </w:numPr>
      </w:pPr>
      <w:r>
        <w:rPr>
          <w:rFonts w:ascii="Calibri" w:hAnsi="Calibri"/>
          <w:b w:val="0"/>
          <w:sz w:val="21"/>
        </w:rPr>
        <w:t xml:space="preserve">IRS, Single member limited liability companies: </w:t>
      </w:r>
      <w:hyperlink r:id="rId11">
        <w:r>
          <w:rPr>
            <w:rFonts w:ascii="Calibri" w:hAnsi="Calibri"/>
            <w:color w:val="2E74B5"/>
            <w:u w:val="single"/>
            <w:sz w:val="21"/>
          </w:rPr>
          <w:t>https://www.irs.gov/businesses/small-businesses-self-employed/single-member-limited-liability-companies</w:t>
        </w:r>
      </w:hyperlink>
    </w:p>
    <w:p>
      <w:pPr>
        <w:widowControl/>
        <w:numPr>
          <w:ilvl w:val="0"/>
          <w:numId w:val="23"/>
        </w:numPr>
      </w:pPr>
      <w:r>
        <w:rPr>
          <w:rFonts w:ascii="Calibri" w:hAnsi="Calibri"/>
          <w:b w:val="0"/>
          <w:sz w:val="21"/>
        </w:rPr>
        <w:t xml:space="preserve">IRS, Instructions for Form 709, including valuation and adequate-disclosure requirements: </w:t>
      </w:r>
      <w:hyperlink r:id="rId12">
        <w:r>
          <w:rPr>
            <w:rFonts w:ascii="Calibri" w:hAnsi="Calibri"/>
            <w:color w:val="2E74B5"/>
            <w:u w:val="single"/>
            <w:sz w:val="21"/>
          </w:rPr>
          <w:t>https://www.irs.gov/instructions/i709</w:t>
        </w:r>
      </w:hyperlink>
    </w:p>
    <w:p>
      <w:pPr>
        <w:widowControl/>
        <w:numPr>
          <w:ilvl w:val="0"/>
          <w:numId w:val="23"/>
        </w:numPr>
      </w:pPr>
      <w:r>
        <w:rPr>
          <w:rFonts w:ascii="Calibri" w:hAnsi="Calibri"/>
          <w:b w:val="0"/>
          <w:sz w:val="21"/>
        </w:rPr>
        <w:t xml:space="preserve">IRS, Publication 551, Basis of Assets: </w:t>
      </w:r>
      <w:hyperlink r:id="rId13">
        <w:r>
          <w:rPr>
            <w:rFonts w:ascii="Calibri" w:hAnsi="Calibri"/>
            <w:color w:val="2E74B5"/>
            <w:u w:val="single"/>
            <w:sz w:val="21"/>
          </w:rPr>
          <w:t>https://www.irs.gov/publications/p551</w:t>
        </w:r>
      </w:hyperlink>
    </w:p>
    <w:p>
      <w:pPr>
        <w:widowControl/>
        <w:numPr>
          <w:ilvl w:val="0"/>
          <w:numId w:val="23"/>
        </w:numPr>
      </w:pPr>
      <w:r>
        <w:rPr>
          <w:rFonts w:ascii="Calibri" w:hAnsi="Calibri"/>
          <w:b w:val="0"/>
          <w:sz w:val="21"/>
        </w:rPr>
        <w:t xml:space="preserve">IRS, Instructions for Form 1041, including grantor-trust reporting under sections 671 through 678: </w:t>
      </w:r>
      <w:hyperlink r:id="rId14">
        <w:r>
          <w:rPr>
            <w:rFonts w:ascii="Calibri" w:hAnsi="Calibri"/>
            <w:color w:val="2E74B5"/>
            <w:u w:val="single"/>
            <w:sz w:val="21"/>
          </w:rPr>
          <w:t>https://www.irs.gov/instructions/i1041</w:t>
        </w:r>
      </w:hyperlink>
    </w:p>
    <w:p>
      <w:pPr>
        <w:widowControl/>
        <w:numPr>
          <w:ilvl w:val="0"/>
          <w:numId w:val="23"/>
        </w:numPr>
      </w:pPr>
      <w:r>
        <w:rPr>
          <w:rFonts w:ascii="Calibri" w:hAnsi="Calibri"/>
          <w:b w:val="0"/>
          <w:sz w:val="21"/>
        </w:rPr>
        <w:t xml:space="preserve">IRS, Instructions for Form 8615, Tax for Certain Children Who Have Unearned Income: </w:t>
      </w:r>
      <w:hyperlink r:id="rId15">
        <w:r>
          <w:rPr>
            <w:rFonts w:ascii="Calibri" w:hAnsi="Calibri"/>
            <w:color w:val="2E74B5"/>
            <w:u w:val="single"/>
            <w:sz w:val="21"/>
          </w:rPr>
          <w:t>https://www.irs.gov/pub/irs-pdf/i8615.pdf</w:t>
        </w:r>
      </w:hyperlink>
    </w:p>
    <w:p>
      <w:pPr>
        <w:widowControl/>
        <w:numPr>
          <w:ilvl w:val="0"/>
          <w:numId w:val="23"/>
        </w:numPr>
      </w:pPr>
      <w:r>
        <w:rPr>
          <w:rFonts w:ascii="Calibri" w:hAnsi="Calibri"/>
          <w:b w:val="0"/>
          <w:sz w:val="21"/>
        </w:rPr>
        <w:t xml:space="preserve">IRS, Family employees: </w:t>
      </w:r>
      <w:hyperlink r:id="rId16">
        <w:r>
          <w:rPr>
            <w:rFonts w:ascii="Calibri" w:hAnsi="Calibri"/>
            <w:color w:val="2E74B5"/>
            <w:u w:val="single"/>
            <w:sz w:val="21"/>
          </w:rPr>
          <w:t>https://www.irs.gov/businesses/small-businesses-self-employed/family-employees</w:t>
        </w:r>
      </w:hyperlink>
    </w:p>
    <w:p>
      <w:pPr>
        <w:widowControl/>
        <w:numPr>
          <w:ilvl w:val="0"/>
          <w:numId w:val="23"/>
        </w:numPr>
      </w:pPr>
      <w:r>
        <w:rPr>
          <w:rFonts w:ascii="Calibri" w:hAnsi="Calibri"/>
          <w:b w:val="0"/>
          <w:sz w:val="21"/>
        </w:rPr>
        <w:t xml:space="preserve">IRS, Instructions for Form 2553, including eligible shareholders and trust elections: </w:t>
      </w:r>
      <w:hyperlink r:id="rId17">
        <w:r>
          <w:rPr>
            <w:rFonts w:ascii="Calibri" w:hAnsi="Calibri"/>
            <w:color w:val="2E74B5"/>
            <w:u w:val="single"/>
            <w:sz w:val="21"/>
          </w:rPr>
          <w:t>https://www.irs.gov/instructions/i2553</w:t>
        </w:r>
      </w:hyperlink>
    </w:p>
    <w:p>
      <w:pPr>
        <w:widowControl/>
        <w:numPr>
          <w:ilvl w:val="0"/>
          <w:numId w:val="23"/>
        </w:numPr>
      </w:pPr>
      <w:r>
        <w:rPr>
          <w:rFonts w:ascii="Calibri" w:hAnsi="Calibri"/>
          <w:b w:val="0"/>
          <w:sz w:val="21"/>
        </w:rPr>
        <w:t xml:space="preserve">Georgia Department of Revenue, Tax registration: </w:t>
      </w:r>
      <w:hyperlink r:id="rId18">
        <w:r>
          <w:rPr>
            <w:rFonts w:ascii="Calibri" w:hAnsi="Calibri"/>
            <w:color w:val="2E74B5"/>
            <w:u w:val="single"/>
            <w:sz w:val="21"/>
          </w:rPr>
          <w:t>https://dor.georgia.gov/tax-registration</w:t>
        </w:r>
      </w:hyperlink>
    </w:p>
    <w:p>
      <w:pPr>
        <w:widowControl/>
        <w:numPr>
          <w:ilvl w:val="0"/>
          <w:numId w:val="23"/>
        </w:numPr>
      </w:pPr>
      <w:r>
        <w:rPr>
          <w:rFonts w:ascii="Calibri" w:hAnsi="Calibri"/>
          <w:b w:val="0"/>
          <w:sz w:val="21"/>
        </w:rPr>
        <w:t xml:space="preserve">Georgia Department of Revenue, Withholding tax for employers: </w:t>
      </w:r>
      <w:hyperlink r:id="rId19">
        <w:r>
          <w:rPr>
            <w:rFonts w:ascii="Calibri" w:hAnsi="Calibri"/>
            <w:color w:val="2E74B5"/>
            <w:u w:val="single"/>
            <w:sz w:val="21"/>
          </w:rPr>
          <w:t>https://dor.georgia.gov/taxes/withholding-tax-employers</w:t>
        </w:r>
      </w:hyperlink>
    </w:p>
    <w:p>
      <w:pPr>
        <w:widowControl/>
        <w:numPr>
          <w:ilvl w:val="0"/>
          <w:numId w:val="23"/>
        </w:numPr>
      </w:pPr>
      <w:r>
        <w:rPr>
          <w:rFonts w:ascii="Calibri" w:hAnsi="Calibri"/>
          <w:b w:val="0"/>
          <w:sz w:val="21"/>
        </w:rPr>
        <w:t xml:space="preserve">Georgia Department of Labor, File tax and wage reports and make payments: </w:t>
      </w:r>
      <w:hyperlink r:id="rId20">
        <w:r>
          <w:rPr>
            <w:rFonts w:ascii="Calibri" w:hAnsi="Calibri"/>
            <w:color w:val="2E74B5"/>
            <w:u w:val="single"/>
            <w:sz w:val="21"/>
          </w:rPr>
          <w:t>https://dol.georgia.gov/file-tax-and-wage-reports-and-make-payments</w:t>
        </w:r>
      </w:hyperlink>
    </w:p>
    <w:p>
      <w:pPr>
        <w:widowControl/>
        <w:numPr>
          <w:ilvl w:val="0"/>
          <w:numId w:val="23"/>
        </w:numPr>
      </w:pPr>
      <w:r>
        <w:rPr>
          <w:rFonts w:ascii="Calibri" w:hAnsi="Calibri"/>
          <w:b w:val="0"/>
          <w:sz w:val="21"/>
        </w:rPr>
        <w:t xml:space="preserve">Georgia Department of Labor, Child labor work-hour restrictions: </w:t>
      </w:r>
      <w:hyperlink r:id="rId21">
        <w:r>
          <w:rPr>
            <w:rFonts w:ascii="Calibri" w:hAnsi="Calibri"/>
            <w:color w:val="2E74B5"/>
            <w:u w:val="single"/>
            <w:sz w:val="21"/>
          </w:rPr>
          <w:t>https://dol.georgia.gov/child-labor-work-hour-restrictions</w:t>
        </w:r>
      </w:hyperlink>
    </w:p>
    <w:p>
      <w:pPr>
        <w:widowControl/>
        <w:numPr>
          <w:ilvl w:val="0"/>
          <w:numId w:val="23"/>
        </w:numPr>
      </w:pPr>
      <w:r>
        <w:rPr>
          <w:rFonts w:ascii="Calibri" w:hAnsi="Calibri"/>
          <w:b w:val="0"/>
          <w:sz w:val="21"/>
        </w:rPr>
        <w:t xml:space="preserve">Georgia Department of Labor, Child labor law exceptions: </w:t>
      </w:r>
      <w:hyperlink r:id="rId22">
        <w:r>
          <w:rPr>
            <w:rFonts w:ascii="Calibri" w:hAnsi="Calibri"/>
            <w:color w:val="2E74B5"/>
            <w:u w:val="single"/>
            <w:sz w:val="21"/>
          </w:rPr>
          <w:t>https://dol.georgia.gov/child-labor-law-exceptions</w:t>
        </w:r>
      </w:hyperlink>
    </w:p>
    <w:p>
      <w:pPr>
        <w:pStyle w:val="Heading1"/>
        <w:pageBreakBefore w:val="0"/>
      </w:pPr>
      <w:r>
        <w:rPr>
          <w:rFonts w:ascii="Calibri" w:hAnsi="Calibri"/>
          <w:b/>
        </w:rPr>
        <w:t>14. Recipient details to complete before circulation</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2100"/>
        <w:gridCol w:w="7260"/>
      </w:tblGrid>
      <w:tr>
        <w:trPr>
          <w:cantSplit w:val="true"/>
          <w:tblHeader w:val="true"/>
        </w:trPr>
        <w:tc>
          <w:tcPr>
            <w:tcW w:type="dxa" w:w="2100"/>
            <w:vAlign w:val="center"/>
            <w:shd w:fill="F2F4F7"/>
            <w:tcMar>
              <w:top w:w="80" w:type="dxa"/>
              <w:bottom w:w="80" w:type="dxa"/>
              <w:start w:w="120" w:type="dxa"/>
              <w:end w:w="120" w:type="dxa"/>
            </w:tcMar>
          </w:tcPr>
          <w:p>
            <w:pPr>
              <w:pStyle w:val="TableText"/>
              <w:jc w:val="left"/>
            </w:pPr>
            <w:r>
              <w:rPr>
                <w:rFonts w:ascii="Calibri" w:hAnsi="Calibri"/>
                <w:b/>
                <w:color w:val="18324B"/>
                <w:sz w:val="17"/>
              </w:rPr>
              <w:t>Field</w:t>
            </w:r>
          </w:p>
        </w:tc>
        <w:tc>
          <w:tcPr>
            <w:tcW w:type="dxa" w:w="7260"/>
            <w:vAlign w:val="center"/>
            <w:shd w:fill="F2F4F7"/>
            <w:tcMar>
              <w:top w:w="80" w:type="dxa"/>
              <w:bottom w:w="80" w:type="dxa"/>
              <w:start w:w="120" w:type="dxa"/>
              <w:end w:w="120" w:type="dxa"/>
            </w:tcMar>
          </w:tcPr>
          <w:p>
            <w:pPr>
              <w:pStyle w:val="TableText"/>
              <w:jc w:val="left"/>
            </w:pPr>
            <w:r>
              <w:rPr>
                <w:rFonts w:ascii="Calibri" w:hAnsi="Calibri"/>
                <w:b/>
                <w:color w:val="18324B"/>
                <w:sz w:val="17"/>
              </w:rPr>
              <w:t>Required entry</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CPA full name and credential</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[To be completed]</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CPA firm</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[To be completed]</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CPA email and phone</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[To be completed]</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CPA engagement or matter number</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[To be completed]</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Vik's full legal name</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Vik Thadani</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Counsel full name and firm</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[To be completed]</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Counsel email and phone</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[To be completed]</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Authorized recipients</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[To be completed]</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Authorized instructor and approver</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[To be completed]</w:t>
            </w:r>
          </w:p>
        </w:tc>
      </w:tr>
    </w:tbl>
    <w:p>
      <w:pPr>
        <w:spacing w:after="40"/>
      </w:pP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20"/>
      <w:jc w:val="left"/>
      <w:pBdr>
        <w:top w:val="single" w:sz="4" w:space="3" w:color="CBD5DF"/>
      </w:pBdr>
    </w:pPr>
    <w:r>
      <w:rPr>
        <w:rFonts w:ascii="Calibri" w:hAnsi="Calibri"/>
        <w:color w:val="5D6874"/>
        <w:sz w:val="16"/>
      </w:rPr>
      <w:t>CONFIDENTIAL - NOT FOR SIGNATURE OR FILING</w:t>
    </w:r>
    <w:r>
      <w:tab/>
      <w:t xml:space="preserve">Page </w:t>
    </w:r>
    <w:r>
      <w:rPr>
        <w:rFonts w:ascii="Calibri" w:hAnsi="Calibri"/>
        <w:color w:val="5D6874"/>
        <w:sz w:val="16"/>
      </w:rPr>
      <w:fldChar w:fldCharType="begin"/>
      <w:instrText xml:space="preserve">PAGE</w:instrText>
      <w:fldChar w:fldCharType="separate"/>
      <w:t>1</w:t>
      <w:fldChar w:fldCharType="end"/>
    </w:r>
    <w:r>
      <w:rPr>
        <w:rFonts w:ascii="Calibri" w:hAnsi="Calibri"/>
        <w:color w:val="5D6874"/>
        <w:sz w:val="16"/>
      </w:rPr>
      <w:t xml:space="preserve"> of </w:t>
    </w:r>
    <w:r>
      <w:rPr>
        <w:rFonts w:ascii="Calibri" w:hAnsi="Calibri"/>
        <w:color w:val="5D6874"/>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20"/>
      <w:jc w:val="left"/>
      <w:pBdr>
        <w:bottom w:val="single" w:sz="4" w:space="3" w:color="CBD5DF"/>
      </w:pBdr>
    </w:pPr>
    <w:r>
      <w:rPr>
        <w:rFonts w:ascii="Calibri" w:hAnsi="Calibri"/>
        <w:b/>
        <w:color w:val="18324B"/>
        <w:sz w:val="16"/>
      </w:rPr>
      <w:t>CAISSON SOFTWARE LLC</w:t>
    </w:r>
    <w:r>
      <w:tab/>
    </w:r>
    <w:r>
      <w:rPr>
        <w:rFonts w:ascii="Calibri" w:hAnsi="Calibri"/>
        <w:b/>
        <w:color w:val="9B1C1C"/>
        <w:sz w:val="16"/>
      </w:rPr>
      <w:t>DRAFT FOR DISCUSSION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lvlJc w:val="left"/>
      <w:pPr>
        <w:tabs>
          <w:tab w:val="num" w:pos="720"/>
        </w:tabs>
        <w:ind w:left="720" w:hanging="360"/>
        <w:spacing w:after="160" w:line="280" w:lineRule="auto"/>
      </w:pPr>
    </w:lvl>
    <w:lvl w:ilvl="1">
      <w:start w:val="1"/>
      <w:numFmt w:val="decimal"/>
      <w:lvlText w:val="%2."/>
      <w:lvlJc w:val="left"/>
      <w:pPr>
        <w:tabs>
          <w:tab w:val="num" w:pos="1080"/>
        </w:tabs>
        <w:ind w:left="1080" w:hanging="360"/>
        <w:spacing w:after="160" w:line="280" w:lineRule="auto"/>
      </w:pPr>
    </w:lvl>
    <w:lvl w:ilvl="2">
      <w:start w:val="1"/>
      <w:numFmt w:val="decimal"/>
      <w:lvlText w:val="%3."/>
      <w:lvlJc w:val="left"/>
      <w:pPr>
        <w:tabs>
          <w:tab w:val="num" w:pos="1440"/>
        </w:tabs>
        <w:ind w:left="1440" w:hanging="360"/>
        <w:spacing w:after="160" w:line="280" w:lineRule="auto"/>
      </w:pPr>
    </w:lvl>
  </w:abstractNum>
  <w:num w:numId="10">
    <w:abstractNumId w:val="9"/>
  </w:num>
  <w:abstractNum w:abstractNumId="10">
    <w:multiLevelType w:val="multilevel"/>
    <w:lvl w:ilvl="0">
      <w:start w:val="1"/>
      <w:numFmt w:val="bullet"/>
      <w:lvlText w:val="•"/>
      <w:lvlJc w:val="left"/>
      <w:pPr>
        <w:tabs>
          <w:tab w:val="num" w:pos="720"/>
        </w:tabs>
        <w:ind w:left="720" w:hanging="360"/>
        <w:spacing w:after="160" w:line="280" w:lineRule="auto"/>
      </w:pPr>
      <w:rPr>
        <w:rFonts w:ascii="Calibri" w:hAnsi="Calibri"/>
      </w:rPr>
    </w:lvl>
    <w:lvl w:ilvl="1">
      <w:start w:val="1"/>
      <w:numFmt w:val="bullet"/>
      <w:lvlText w:val="-"/>
      <w:lvlJc w:val="left"/>
      <w:pPr>
        <w:tabs>
          <w:tab w:val="num" w:pos="1080"/>
        </w:tabs>
        <w:ind w:left="1080" w:hanging="360"/>
        <w:spacing w:after="160" w:line="280" w:lineRule="auto"/>
      </w:pPr>
      <w:rPr>
        <w:rFonts w:ascii="Calibri" w:hAnsi="Calibri"/>
      </w:rPr>
    </w:lvl>
    <w:lvl w:ilvl="2">
      <w:start w:val="1"/>
      <w:numFmt w:val="bullet"/>
      <w:lvlText w:val="-"/>
      <w:lvlJc w:val="left"/>
      <w:pPr>
        <w:tabs>
          <w:tab w:val="num" w:pos="1440"/>
        </w:tabs>
        <w:ind w:left="1440" w:hanging="360"/>
        <w:spacing w:after="160" w:line="280" w:lineRule="auto"/>
      </w:pPr>
      <w:rPr>
        <w:rFonts w:ascii="Calibri" w:hAnsi="Calibri"/>
      </w:rPr>
    </w:lvl>
  </w:abstractNum>
  <w:num w:numId="11">
    <w:abstractNumId w:val="10"/>
  </w:num>
  <w:abstractNum w:abstractNumId="11">
    <w:multiLevelType w:val="multilevel"/>
    <w:lvl w:ilvl="0">
      <w:start w:val="1"/>
      <w:numFmt w:val="bullet"/>
      <w:lvlText w:val="•"/>
      <w:lvlJc w:val="left"/>
      <w:pPr>
        <w:tabs>
          <w:tab w:val="num" w:pos="720"/>
        </w:tabs>
        <w:ind w:left="720" w:hanging="360"/>
        <w:spacing w:after="160" w:line="280" w:lineRule="auto"/>
      </w:pPr>
      <w:rPr>
        <w:rFonts w:ascii="Calibri" w:hAnsi="Calibri"/>
      </w:rPr>
    </w:lvl>
    <w:lvl w:ilvl="1">
      <w:start w:val="1"/>
      <w:numFmt w:val="bullet"/>
      <w:lvlText w:val="-"/>
      <w:lvlJc w:val="left"/>
      <w:pPr>
        <w:tabs>
          <w:tab w:val="num" w:pos="1080"/>
        </w:tabs>
        <w:ind w:left="1080" w:hanging="360"/>
        <w:spacing w:after="160" w:line="280" w:lineRule="auto"/>
      </w:pPr>
      <w:rPr>
        <w:rFonts w:ascii="Calibri" w:hAnsi="Calibri"/>
      </w:rPr>
    </w:lvl>
    <w:lvl w:ilvl="2">
      <w:start w:val="1"/>
      <w:numFmt w:val="bullet"/>
      <w:lvlText w:val="-"/>
      <w:lvlJc w:val="left"/>
      <w:pPr>
        <w:tabs>
          <w:tab w:val="num" w:pos="1440"/>
        </w:tabs>
        <w:ind w:left="1440" w:hanging="360"/>
        <w:spacing w:after="160" w:line="280" w:lineRule="auto"/>
      </w:pPr>
      <w:rPr>
        <w:rFonts w:ascii="Calibri" w:hAnsi="Calibri"/>
      </w:rPr>
    </w:lvl>
  </w:abstractNum>
  <w:num w:numId="12">
    <w:abstractNumId w:val="11"/>
  </w:num>
  <w:abstractNum w:abstractNumId="12">
    <w:multiLevelType w:val="multilevel"/>
    <w:lvl w:ilvl="0">
      <w:start w:val="1"/>
      <w:numFmt w:val="decimal"/>
      <w:lvlText w:val="%1."/>
      <w:lvlJc w:val="left"/>
      <w:pPr>
        <w:tabs>
          <w:tab w:val="num" w:pos="720"/>
        </w:tabs>
        <w:ind w:left="720" w:hanging="360"/>
        <w:spacing w:after="160" w:line="280" w:lineRule="auto"/>
      </w:pPr>
    </w:lvl>
    <w:lvl w:ilvl="1">
      <w:start w:val="1"/>
      <w:numFmt w:val="decimal"/>
      <w:lvlText w:val="%2."/>
      <w:lvlJc w:val="left"/>
      <w:pPr>
        <w:tabs>
          <w:tab w:val="num" w:pos="1080"/>
        </w:tabs>
        <w:ind w:left="1080" w:hanging="360"/>
        <w:spacing w:after="160" w:line="280" w:lineRule="auto"/>
      </w:pPr>
    </w:lvl>
    <w:lvl w:ilvl="2">
      <w:start w:val="1"/>
      <w:numFmt w:val="decimal"/>
      <w:lvlText w:val="%3."/>
      <w:lvlJc w:val="left"/>
      <w:pPr>
        <w:tabs>
          <w:tab w:val="num" w:pos="1440"/>
        </w:tabs>
        <w:ind w:left="1440" w:hanging="360"/>
        <w:spacing w:after="160" w:line="280" w:lineRule="auto"/>
      </w:pPr>
    </w:lvl>
  </w:abstractNum>
  <w:num w:numId="13">
    <w:abstractNumId w:val="12"/>
  </w:num>
  <w:abstractNum w:abstractNumId="13">
    <w:multiLevelType w:val="multilevel"/>
    <w:lvl w:ilvl="0">
      <w:start w:val="1"/>
      <w:numFmt w:val="bullet"/>
      <w:lvlText w:val="•"/>
      <w:lvlJc w:val="left"/>
      <w:pPr>
        <w:tabs>
          <w:tab w:val="num" w:pos="720"/>
        </w:tabs>
        <w:ind w:left="720" w:hanging="360"/>
        <w:spacing w:after="160" w:line="280" w:lineRule="auto"/>
      </w:pPr>
      <w:rPr>
        <w:rFonts w:ascii="Calibri" w:hAnsi="Calibri"/>
      </w:rPr>
    </w:lvl>
    <w:lvl w:ilvl="1">
      <w:start w:val="1"/>
      <w:numFmt w:val="bullet"/>
      <w:lvlText w:val="-"/>
      <w:lvlJc w:val="left"/>
      <w:pPr>
        <w:tabs>
          <w:tab w:val="num" w:pos="1080"/>
        </w:tabs>
        <w:ind w:left="1080" w:hanging="360"/>
        <w:spacing w:after="160" w:line="280" w:lineRule="auto"/>
      </w:pPr>
      <w:rPr>
        <w:rFonts w:ascii="Calibri" w:hAnsi="Calibri"/>
      </w:rPr>
    </w:lvl>
    <w:lvl w:ilvl="2">
      <w:start w:val="1"/>
      <w:numFmt w:val="bullet"/>
      <w:lvlText w:val="-"/>
      <w:lvlJc w:val="left"/>
      <w:pPr>
        <w:tabs>
          <w:tab w:val="num" w:pos="1440"/>
        </w:tabs>
        <w:ind w:left="1440" w:hanging="360"/>
        <w:spacing w:after="160" w:line="280" w:lineRule="auto"/>
      </w:pPr>
      <w:rPr>
        <w:rFonts w:ascii="Calibri" w:hAnsi="Calibri"/>
      </w:rPr>
    </w:lvl>
  </w:abstractNum>
  <w:num w:numId="14">
    <w:abstractNumId w:val="13"/>
  </w:num>
  <w:abstractNum w:abstractNumId="14">
    <w:multiLevelType w:val="multilevel"/>
    <w:lvl w:ilvl="0">
      <w:start w:val="1"/>
      <w:numFmt w:val="bullet"/>
      <w:lvlText w:val="•"/>
      <w:lvlJc w:val="left"/>
      <w:pPr>
        <w:tabs>
          <w:tab w:val="num" w:pos="720"/>
        </w:tabs>
        <w:ind w:left="720" w:hanging="360"/>
        <w:spacing w:after="160" w:line="280" w:lineRule="auto"/>
      </w:pPr>
      <w:rPr>
        <w:rFonts w:ascii="Calibri" w:hAnsi="Calibri"/>
      </w:rPr>
    </w:lvl>
    <w:lvl w:ilvl="1">
      <w:start w:val="1"/>
      <w:numFmt w:val="bullet"/>
      <w:lvlText w:val="-"/>
      <w:lvlJc w:val="left"/>
      <w:pPr>
        <w:tabs>
          <w:tab w:val="num" w:pos="1080"/>
        </w:tabs>
        <w:ind w:left="1080" w:hanging="360"/>
        <w:spacing w:after="160" w:line="280" w:lineRule="auto"/>
      </w:pPr>
      <w:rPr>
        <w:rFonts w:ascii="Calibri" w:hAnsi="Calibri"/>
      </w:rPr>
    </w:lvl>
    <w:lvl w:ilvl="2">
      <w:start w:val="1"/>
      <w:numFmt w:val="bullet"/>
      <w:lvlText w:val="-"/>
      <w:lvlJc w:val="left"/>
      <w:pPr>
        <w:tabs>
          <w:tab w:val="num" w:pos="1440"/>
        </w:tabs>
        <w:ind w:left="1440" w:hanging="360"/>
        <w:spacing w:after="160" w:line="280" w:lineRule="auto"/>
      </w:pPr>
      <w:rPr>
        <w:rFonts w:ascii="Calibri" w:hAnsi="Calibri"/>
      </w:rPr>
    </w:lvl>
  </w:abstractNum>
  <w:num w:numId="15">
    <w:abstractNumId w:val="14"/>
  </w:num>
  <w:abstractNum w:abstractNumId="15">
    <w:multiLevelType w:val="multilevel"/>
    <w:lvl w:ilvl="0">
      <w:start w:val="1"/>
      <w:numFmt w:val="bullet"/>
      <w:lvlText w:val="•"/>
      <w:lvlJc w:val="left"/>
      <w:pPr>
        <w:tabs>
          <w:tab w:val="num" w:pos="720"/>
        </w:tabs>
        <w:ind w:left="720" w:hanging="360"/>
        <w:spacing w:after="160" w:line="280" w:lineRule="auto"/>
      </w:pPr>
      <w:rPr>
        <w:rFonts w:ascii="Calibri" w:hAnsi="Calibri"/>
      </w:rPr>
    </w:lvl>
    <w:lvl w:ilvl="1">
      <w:start w:val="1"/>
      <w:numFmt w:val="bullet"/>
      <w:lvlText w:val="-"/>
      <w:lvlJc w:val="left"/>
      <w:pPr>
        <w:tabs>
          <w:tab w:val="num" w:pos="1080"/>
        </w:tabs>
        <w:ind w:left="1080" w:hanging="360"/>
        <w:spacing w:after="160" w:line="280" w:lineRule="auto"/>
      </w:pPr>
      <w:rPr>
        <w:rFonts w:ascii="Calibri" w:hAnsi="Calibri"/>
      </w:rPr>
    </w:lvl>
    <w:lvl w:ilvl="2">
      <w:start w:val="1"/>
      <w:numFmt w:val="bullet"/>
      <w:lvlText w:val="-"/>
      <w:lvlJc w:val="left"/>
      <w:pPr>
        <w:tabs>
          <w:tab w:val="num" w:pos="1440"/>
        </w:tabs>
        <w:ind w:left="1440" w:hanging="360"/>
        <w:spacing w:after="160" w:line="280" w:lineRule="auto"/>
      </w:pPr>
      <w:rPr>
        <w:rFonts w:ascii="Calibri" w:hAnsi="Calibri"/>
      </w:rPr>
    </w:lvl>
  </w:abstractNum>
  <w:num w:numId="16">
    <w:abstractNumId w:val="15"/>
  </w:num>
  <w:abstractNum w:abstractNumId="16">
    <w:multiLevelType w:val="multilevel"/>
    <w:lvl w:ilvl="0">
      <w:start w:val="1"/>
      <w:numFmt w:val="bullet"/>
      <w:lvlText w:val="•"/>
      <w:lvlJc w:val="left"/>
      <w:pPr>
        <w:tabs>
          <w:tab w:val="num" w:pos="720"/>
        </w:tabs>
        <w:ind w:left="720" w:hanging="360"/>
        <w:spacing w:after="160" w:line="280" w:lineRule="auto"/>
      </w:pPr>
      <w:rPr>
        <w:rFonts w:ascii="Calibri" w:hAnsi="Calibri"/>
      </w:rPr>
    </w:lvl>
    <w:lvl w:ilvl="1">
      <w:start w:val="1"/>
      <w:numFmt w:val="bullet"/>
      <w:lvlText w:val="-"/>
      <w:lvlJc w:val="left"/>
      <w:pPr>
        <w:tabs>
          <w:tab w:val="num" w:pos="1080"/>
        </w:tabs>
        <w:ind w:left="1080" w:hanging="360"/>
        <w:spacing w:after="160" w:line="280" w:lineRule="auto"/>
      </w:pPr>
      <w:rPr>
        <w:rFonts w:ascii="Calibri" w:hAnsi="Calibri"/>
      </w:rPr>
    </w:lvl>
    <w:lvl w:ilvl="2">
      <w:start w:val="1"/>
      <w:numFmt w:val="bullet"/>
      <w:lvlText w:val="-"/>
      <w:lvlJc w:val="left"/>
      <w:pPr>
        <w:tabs>
          <w:tab w:val="num" w:pos="1440"/>
        </w:tabs>
        <w:ind w:left="1440" w:hanging="360"/>
        <w:spacing w:after="160" w:line="280" w:lineRule="auto"/>
      </w:pPr>
      <w:rPr>
        <w:rFonts w:ascii="Calibri" w:hAnsi="Calibri"/>
      </w:rPr>
    </w:lvl>
  </w:abstractNum>
  <w:num w:numId="17">
    <w:abstractNumId w:val="16"/>
  </w:num>
  <w:abstractNum w:abstractNumId="17">
    <w:multiLevelType w:val="multilevel"/>
    <w:lvl w:ilvl="0">
      <w:start w:val="1"/>
      <w:numFmt w:val="bullet"/>
      <w:lvlText w:val="•"/>
      <w:lvlJc w:val="left"/>
      <w:pPr>
        <w:tabs>
          <w:tab w:val="num" w:pos="720"/>
        </w:tabs>
        <w:ind w:left="720" w:hanging="360"/>
        <w:spacing w:after="160" w:line="280" w:lineRule="auto"/>
      </w:pPr>
      <w:rPr>
        <w:rFonts w:ascii="Calibri" w:hAnsi="Calibri"/>
      </w:rPr>
    </w:lvl>
    <w:lvl w:ilvl="1">
      <w:start w:val="1"/>
      <w:numFmt w:val="bullet"/>
      <w:lvlText w:val="-"/>
      <w:lvlJc w:val="left"/>
      <w:pPr>
        <w:tabs>
          <w:tab w:val="num" w:pos="1080"/>
        </w:tabs>
        <w:ind w:left="1080" w:hanging="360"/>
        <w:spacing w:after="160" w:line="280" w:lineRule="auto"/>
      </w:pPr>
      <w:rPr>
        <w:rFonts w:ascii="Calibri" w:hAnsi="Calibri"/>
      </w:rPr>
    </w:lvl>
    <w:lvl w:ilvl="2">
      <w:start w:val="1"/>
      <w:numFmt w:val="bullet"/>
      <w:lvlText w:val="-"/>
      <w:lvlJc w:val="left"/>
      <w:pPr>
        <w:tabs>
          <w:tab w:val="num" w:pos="1440"/>
        </w:tabs>
        <w:ind w:left="1440" w:hanging="360"/>
        <w:spacing w:after="160" w:line="280" w:lineRule="auto"/>
      </w:pPr>
      <w:rPr>
        <w:rFonts w:ascii="Calibri" w:hAnsi="Calibri"/>
      </w:rPr>
    </w:lvl>
  </w:abstractNum>
  <w:num w:numId="18">
    <w:abstractNumId w:val="17"/>
  </w:num>
  <w:abstractNum w:abstractNumId="18">
    <w:multiLevelType w:val="multilevel"/>
    <w:lvl w:ilvl="0">
      <w:start w:val="1"/>
      <w:numFmt w:val="decimal"/>
      <w:lvlText w:val="%1."/>
      <w:lvlJc w:val="left"/>
      <w:pPr>
        <w:tabs>
          <w:tab w:val="num" w:pos="720"/>
        </w:tabs>
        <w:ind w:left="720" w:hanging="360"/>
        <w:spacing w:after="160" w:line="280" w:lineRule="auto"/>
      </w:pPr>
    </w:lvl>
    <w:lvl w:ilvl="1">
      <w:start w:val="1"/>
      <w:numFmt w:val="decimal"/>
      <w:lvlText w:val="%2."/>
      <w:lvlJc w:val="left"/>
      <w:pPr>
        <w:tabs>
          <w:tab w:val="num" w:pos="1080"/>
        </w:tabs>
        <w:ind w:left="1080" w:hanging="360"/>
        <w:spacing w:after="160" w:line="280" w:lineRule="auto"/>
      </w:pPr>
    </w:lvl>
    <w:lvl w:ilvl="2">
      <w:start w:val="1"/>
      <w:numFmt w:val="decimal"/>
      <w:lvlText w:val="%3."/>
      <w:lvlJc w:val="left"/>
      <w:pPr>
        <w:tabs>
          <w:tab w:val="num" w:pos="1440"/>
        </w:tabs>
        <w:ind w:left="1440" w:hanging="360"/>
        <w:spacing w:after="160" w:line="280" w:lineRule="auto"/>
      </w:pPr>
    </w:lvl>
  </w:abstractNum>
  <w:num w:numId="19">
    <w:abstractNumId w:val="18"/>
  </w:num>
  <w:abstractNum w:abstractNumId="19">
    <w:multiLevelType w:val="multilevel"/>
    <w:lvl w:ilvl="0">
      <w:start w:val="1"/>
      <w:numFmt w:val="decimal"/>
      <w:lvlText w:val="%1."/>
      <w:lvlJc w:val="left"/>
      <w:pPr>
        <w:tabs>
          <w:tab w:val="num" w:pos="720"/>
        </w:tabs>
        <w:ind w:left="720" w:hanging="360"/>
        <w:spacing w:after="160" w:line="280" w:lineRule="auto"/>
      </w:pPr>
    </w:lvl>
    <w:lvl w:ilvl="1">
      <w:start w:val="1"/>
      <w:numFmt w:val="decimal"/>
      <w:lvlText w:val="%2."/>
      <w:lvlJc w:val="left"/>
      <w:pPr>
        <w:tabs>
          <w:tab w:val="num" w:pos="1080"/>
        </w:tabs>
        <w:ind w:left="1080" w:hanging="360"/>
        <w:spacing w:after="160" w:line="280" w:lineRule="auto"/>
      </w:pPr>
    </w:lvl>
    <w:lvl w:ilvl="2">
      <w:start w:val="1"/>
      <w:numFmt w:val="decimal"/>
      <w:lvlText w:val="%3."/>
      <w:lvlJc w:val="left"/>
      <w:pPr>
        <w:tabs>
          <w:tab w:val="num" w:pos="1440"/>
        </w:tabs>
        <w:ind w:left="1440" w:hanging="360"/>
        <w:spacing w:after="160" w:line="280" w:lineRule="auto"/>
      </w:pPr>
    </w:lvl>
  </w:abstractNum>
  <w:num w:numId="20">
    <w:abstractNumId w:val="19"/>
  </w:num>
  <w:abstractNum w:abstractNumId="20">
    <w:multiLevelType w:val="multilevel"/>
    <w:lvl w:ilvl="0">
      <w:start w:val="1"/>
      <w:numFmt w:val="bullet"/>
      <w:lvlText w:val="•"/>
      <w:lvlJc w:val="left"/>
      <w:pPr>
        <w:tabs>
          <w:tab w:val="num" w:pos="720"/>
        </w:tabs>
        <w:ind w:left="720" w:hanging="360"/>
        <w:spacing w:after="160" w:line="280" w:lineRule="auto"/>
      </w:pPr>
      <w:rPr>
        <w:rFonts w:ascii="Calibri" w:hAnsi="Calibri"/>
      </w:rPr>
    </w:lvl>
    <w:lvl w:ilvl="1">
      <w:start w:val="1"/>
      <w:numFmt w:val="bullet"/>
      <w:lvlText w:val="-"/>
      <w:lvlJc w:val="left"/>
      <w:pPr>
        <w:tabs>
          <w:tab w:val="num" w:pos="1080"/>
        </w:tabs>
        <w:ind w:left="1080" w:hanging="360"/>
        <w:spacing w:after="160" w:line="280" w:lineRule="auto"/>
      </w:pPr>
      <w:rPr>
        <w:rFonts w:ascii="Calibri" w:hAnsi="Calibri"/>
      </w:rPr>
    </w:lvl>
    <w:lvl w:ilvl="2">
      <w:start w:val="1"/>
      <w:numFmt w:val="bullet"/>
      <w:lvlText w:val="-"/>
      <w:lvlJc w:val="left"/>
      <w:pPr>
        <w:tabs>
          <w:tab w:val="num" w:pos="1440"/>
        </w:tabs>
        <w:ind w:left="1440" w:hanging="360"/>
        <w:spacing w:after="160" w:line="280" w:lineRule="auto"/>
      </w:pPr>
      <w:rPr>
        <w:rFonts w:ascii="Calibri" w:hAnsi="Calibri"/>
      </w:rPr>
    </w:lvl>
  </w:abstractNum>
  <w:num w:numId="21">
    <w:abstractNumId w:val="20"/>
  </w:num>
  <w:abstractNum w:abstractNumId="21">
    <w:multiLevelType w:val="multilevel"/>
    <w:lvl w:ilvl="0">
      <w:start w:val="1"/>
      <w:numFmt w:val="bullet"/>
      <w:lvlText w:val="•"/>
      <w:lvlJc w:val="left"/>
      <w:pPr>
        <w:tabs>
          <w:tab w:val="num" w:pos="720"/>
        </w:tabs>
        <w:ind w:left="720" w:hanging="360"/>
        <w:spacing w:after="160" w:line="280" w:lineRule="auto"/>
      </w:pPr>
      <w:rPr>
        <w:rFonts w:ascii="Calibri" w:hAnsi="Calibri"/>
      </w:rPr>
    </w:lvl>
    <w:lvl w:ilvl="1">
      <w:start w:val="1"/>
      <w:numFmt w:val="bullet"/>
      <w:lvlText w:val="-"/>
      <w:lvlJc w:val="left"/>
      <w:pPr>
        <w:tabs>
          <w:tab w:val="num" w:pos="1080"/>
        </w:tabs>
        <w:ind w:left="1080" w:hanging="360"/>
        <w:spacing w:after="160" w:line="280" w:lineRule="auto"/>
      </w:pPr>
      <w:rPr>
        <w:rFonts w:ascii="Calibri" w:hAnsi="Calibri"/>
      </w:rPr>
    </w:lvl>
    <w:lvl w:ilvl="2">
      <w:start w:val="1"/>
      <w:numFmt w:val="bullet"/>
      <w:lvlText w:val="-"/>
      <w:lvlJc w:val="left"/>
      <w:pPr>
        <w:tabs>
          <w:tab w:val="num" w:pos="1440"/>
        </w:tabs>
        <w:ind w:left="1440" w:hanging="360"/>
        <w:spacing w:after="160" w:line="280" w:lineRule="auto"/>
      </w:pPr>
      <w:rPr>
        <w:rFonts w:ascii="Calibri" w:hAnsi="Calibri"/>
      </w:rPr>
    </w:lvl>
  </w:abstractNum>
  <w:num w:numId="22">
    <w:abstractNumId w:val="21"/>
  </w:num>
  <w:abstractNum w:abstractNumId="22">
    <w:multiLevelType w:val="multilevel"/>
    <w:lvl w:ilvl="0">
      <w:start w:val="1"/>
      <w:numFmt w:val="bullet"/>
      <w:lvlText w:val="•"/>
      <w:lvlJc w:val="left"/>
      <w:pPr>
        <w:tabs>
          <w:tab w:val="num" w:pos="720"/>
        </w:tabs>
        <w:ind w:left="720" w:hanging="360"/>
        <w:spacing w:after="160" w:line="280" w:lineRule="auto"/>
      </w:pPr>
      <w:rPr>
        <w:rFonts w:ascii="Calibri" w:hAnsi="Calibri"/>
      </w:rPr>
    </w:lvl>
    <w:lvl w:ilvl="1">
      <w:start w:val="1"/>
      <w:numFmt w:val="bullet"/>
      <w:lvlText w:val="-"/>
      <w:lvlJc w:val="left"/>
      <w:pPr>
        <w:tabs>
          <w:tab w:val="num" w:pos="1080"/>
        </w:tabs>
        <w:ind w:left="1080" w:hanging="360"/>
        <w:spacing w:after="160" w:line="280" w:lineRule="auto"/>
      </w:pPr>
      <w:rPr>
        <w:rFonts w:ascii="Calibri" w:hAnsi="Calibri"/>
      </w:rPr>
    </w:lvl>
    <w:lvl w:ilvl="2">
      <w:start w:val="1"/>
      <w:numFmt w:val="bullet"/>
      <w:lvlText w:val="-"/>
      <w:lvlJc w:val="left"/>
      <w:pPr>
        <w:tabs>
          <w:tab w:val="num" w:pos="1440"/>
        </w:tabs>
        <w:ind w:left="1440" w:hanging="360"/>
        <w:spacing w:after="160" w:line="280" w:lineRule="auto"/>
      </w:pPr>
      <w:rPr>
        <w:rFonts w:ascii="Calibri" w:hAnsi="Calibri"/>
      </w:rPr>
    </w:lvl>
  </w:abstract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D716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D716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40" w:line="252" w:lineRule="auto"/>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rs.gov/businesses/small-businesses-self-employed/single-member-limited-liability-companies" TargetMode="External"/><Relationship Id="rId12" Type="http://schemas.openxmlformats.org/officeDocument/2006/relationships/hyperlink" Target="https://www.irs.gov/instructions/i709" TargetMode="External"/><Relationship Id="rId13" Type="http://schemas.openxmlformats.org/officeDocument/2006/relationships/hyperlink" Target="https://www.irs.gov/publications/p551" TargetMode="External"/><Relationship Id="rId14" Type="http://schemas.openxmlformats.org/officeDocument/2006/relationships/hyperlink" Target="https://www.irs.gov/instructions/i1041" TargetMode="External"/><Relationship Id="rId15" Type="http://schemas.openxmlformats.org/officeDocument/2006/relationships/hyperlink" Target="https://www.irs.gov/pub/irs-pdf/i8615.pdf" TargetMode="External"/><Relationship Id="rId16" Type="http://schemas.openxmlformats.org/officeDocument/2006/relationships/hyperlink" Target="https://www.irs.gov/businesses/small-businesses-self-employed/family-employees" TargetMode="External"/><Relationship Id="rId17" Type="http://schemas.openxmlformats.org/officeDocument/2006/relationships/hyperlink" Target="https://www.irs.gov/instructions/i2553" TargetMode="External"/><Relationship Id="rId18" Type="http://schemas.openxmlformats.org/officeDocument/2006/relationships/hyperlink" Target="https://dor.georgia.gov/tax-registration" TargetMode="External"/><Relationship Id="rId19" Type="http://schemas.openxmlformats.org/officeDocument/2006/relationships/hyperlink" Target="https://dor.georgia.gov/taxes/withholding-tax-employers" TargetMode="External"/><Relationship Id="rId20" Type="http://schemas.openxmlformats.org/officeDocument/2006/relationships/hyperlink" Target="https://dol.georgia.gov/file-tax-and-wage-reports-and-make-payments" TargetMode="External"/><Relationship Id="rId21" Type="http://schemas.openxmlformats.org/officeDocument/2006/relationships/hyperlink" Target="https://dol.georgia.gov/child-labor-work-hour-restrictions" TargetMode="External"/><Relationship Id="rId22" Type="http://schemas.openxmlformats.org/officeDocument/2006/relationships/hyperlink" Target="https://dol.georgia.gov/child-labor-law-excep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Caisson Finance and Tax Coordination</dc:title>
  <dc:subject>Working reconstruction, family funding, trust sequencing, payroll, and opening-entry decisions</dc:subject>
  <dc:creator/>
  <cp:keywords>Caisson Software LLC; draft; attorney review; CPA review</cp:keywords>
  <dc:description>generated by python-docx</dc:description>
  <cp:lastModifiedBy/>
  <cp:revision>1</cp:revision>
  <dcterms:created xsi:type="dcterms:W3CDTF">2013-12-23T23:15:00Z</dcterms:created>
  <dcterms:modified xsi:type="dcterms:W3CDTF">2013-12-23T23:15:00Z</dcterms:modified>
  <cp:category>Confidential attorney/CPA discussion draft</cp:category>
</cp:coreProperties>
</file>