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ind w:left="120" w:right="120"/>
        <w:jc w:val="center"/>
        <w:shd w:fill="9B1C1C"/>
      </w:pPr>
      <w:r>
        <w:rPr>
          <w:rFonts w:ascii="Calibri" w:hAnsi="Calibri"/>
          <w:b/>
          <w:color w:val="FFFFFF"/>
          <w:sz w:val="17"/>
        </w:rPr>
        <w:t>DRAFT FOR DISCUSSION - NOT FOR SIGNATURE OR FILING - ATTORNEY/CPA REVIEW REQUIRED</w:t>
      </w:r>
    </w:p>
    <w:p>
      <w:pPr>
        <w:spacing w:before="80" w:after="40"/>
      </w:pPr>
      <w:r>
        <w:rPr>
          <w:rFonts w:ascii="Calibri" w:hAnsi="Calibri"/>
          <w:b/>
          <w:color w:val="2E74B5"/>
          <w:sz w:val="19"/>
        </w:rPr>
        <w:t>COUNSEL DRAFTING MEMORANDUM</w:t>
      </w:r>
    </w:p>
    <w:p>
      <w:pPr>
        <w:spacing w:before="0" w:after="80"/>
      </w:pPr>
      <w:r>
        <w:rPr>
          <w:rFonts w:ascii="Calibri" w:hAnsi="Calibri"/>
          <w:b/>
          <w:color w:val="18324B"/>
          <w:sz w:val="50"/>
        </w:rPr>
        <w:t>Caisson Software LLC</w:t>
      </w:r>
    </w:p>
    <w:p>
      <w:pPr>
        <w:spacing w:before="0" w:after="280"/>
      </w:pPr>
      <w:r>
        <w:rPr>
          <w:rFonts w:ascii="Calibri" w:hAnsi="Calibri"/>
          <w:color w:val="5D6874"/>
          <w:sz w:val="25"/>
        </w:rPr>
        <w:t>Present ownership, trust structure, governance, succession, IP, and employment</w:t>
      </w:r>
    </w:p>
    <w:tbl>
      <w:tblPr>
        <w:tblW w:type="dxa" w:w="9360"/>
        <w:tblLayout w:type="fixed"/>
        <w:tblLook w:firstColumn="1" w:firstRow="1" w:lastColumn="0" w:lastRow="0" w:noHBand="0" w:noVBand="1" w:val="04A0"/>
        <w:jc w:val="left"/>
        <w:tblBorders>
          <w:top w:val="single" w:sz="4" w:color="D7DDE4"/>
          <w:left w:val="single" w:sz="4" w:color="D7DDE4"/>
          <w:bottom w:val="single" w:sz="4" w:color="D7DDE4"/>
          <w:right w:val="single" w:sz="4" w:color="D7DDE4"/>
          <w:insideH w:val="single" w:sz="4" w:color="D7DDE4"/>
          <w:insideV w:val="single" w:sz="4" w:color="D7DDE4"/>
        </w:tblBorders>
        <w:tblInd w:type="dxa" w:w="120"/>
      </w:tblPr>
      <w:tblGrid>
        <w:gridCol w:w="1900"/>
        <w:gridCol w:w="7460"/>
      </w:tblGrid>
      <w:tr>
        <w:trPr>
          <w:cantSplit w:val="true"/>
        </w:trPr>
        <w:tc>
          <w:tcPr>
            <w:tcW w:type="dxa" w:w="1900"/>
            <w:shd w:fill="F2F4F7"/>
            <w:vAlign w:val="center"/>
            <w:tcMar>
              <w:top w:w="80" w:type="dxa"/>
              <w:bottom w:w="80" w:type="dxa"/>
              <w:start w:w="120" w:type="dxa"/>
              <w:end w:w="120" w:type="dxa"/>
            </w:tcMar>
          </w:tcPr>
          <w:p>
            <w:pPr>
              <w:pStyle w:val="TableText"/>
            </w:pPr>
            <w:r>
              <w:rPr>
                <w:rFonts w:ascii="Calibri" w:hAnsi="Calibri"/>
                <w:b/>
                <w:color w:val="18324B"/>
                <w:sz w:val="18"/>
              </w:rPr>
              <w:t>Prepared for</w:t>
            </w:r>
          </w:p>
        </w:tc>
        <w:tc>
          <w:tcPr>
            <w:tcW w:type="dxa" w:w="7460"/>
            <w:vAlign w:val="center"/>
            <w:tcMar>
              <w:top w:w="80" w:type="dxa"/>
              <w:bottom w:w="80" w:type="dxa"/>
              <w:start w:w="120" w:type="dxa"/>
              <w:end w:w="120" w:type="dxa"/>
            </w:tcMar>
          </w:tcPr>
          <w:p>
            <w:pPr>
              <w:pStyle w:val="TableText"/>
            </w:pPr>
            <w:r>
              <w:rPr>
                <w:rFonts w:ascii="Calibri" w:hAnsi="Calibri"/>
                <w:b w:val="0"/>
                <w:sz w:val="18"/>
              </w:rPr>
              <w:t>Vik Thadani's counsel - conflict and engagement-scope review</w:t>
            </w:r>
          </w:p>
        </w:tc>
      </w:tr>
      <w:tr>
        <w:trPr>
          <w:cantSplit w:val="true"/>
        </w:trPr>
        <w:tc>
          <w:tcPr>
            <w:tcW w:type="dxa" w:w="1900"/>
            <w:shd w:fill="F2F4F7"/>
            <w:vAlign w:val="center"/>
            <w:tcMar>
              <w:top w:w="80" w:type="dxa"/>
              <w:bottom w:w="80" w:type="dxa"/>
              <w:start w:w="120" w:type="dxa"/>
              <w:end w:w="120" w:type="dxa"/>
            </w:tcMar>
          </w:tcPr>
          <w:p>
            <w:pPr>
              <w:pStyle w:val="TableText"/>
            </w:pPr>
            <w:r>
              <w:rPr>
                <w:rFonts w:ascii="Calibri" w:hAnsi="Calibri"/>
                <w:b/>
                <w:color w:val="18324B"/>
                <w:sz w:val="18"/>
              </w:rPr>
              <w:t>Prepared</w:t>
            </w:r>
          </w:p>
        </w:tc>
        <w:tc>
          <w:tcPr>
            <w:tcW w:type="dxa" w:w="7460"/>
            <w:vAlign w:val="center"/>
            <w:tcMar>
              <w:top w:w="80" w:type="dxa"/>
              <w:bottom w:w="80" w:type="dxa"/>
              <w:start w:w="120" w:type="dxa"/>
              <w:end w:w="120" w:type="dxa"/>
            </w:tcMar>
          </w:tcPr>
          <w:p>
            <w:pPr>
              <w:pStyle w:val="TableText"/>
            </w:pPr>
            <w:r>
              <w:rPr>
                <w:rFonts w:ascii="Calibri" w:hAnsi="Calibri"/>
                <w:b w:val="0"/>
                <w:sz w:val="18"/>
              </w:rPr>
              <w:t>July 11, 2026</w:t>
            </w:r>
          </w:p>
        </w:tc>
      </w:tr>
      <w:tr>
        <w:trPr>
          <w:cantSplit w:val="true"/>
        </w:trPr>
        <w:tc>
          <w:tcPr>
            <w:tcW w:type="dxa" w:w="1900"/>
            <w:shd w:fill="F2F4F7"/>
            <w:vAlign w:val="center"/>
            <w:tcMar>
              <w:top w:w="80" w:type="dxa"/>
              <w:bottom w:w="80" w:type="dxa"/>
              <w:start w:w="120" w:type="dxa"/>
              <w:end w:w="120" w:type="dxa"/>
            </w:tcMar>
          </w:tcPr>
          <w:p>
            <w:pPr>
              <w:pStyle w:val="TableText"/>
            </w:pPr>
            <w:r>
              <w:rPr>
                <w:rFonts w:ascii="Calibri" w:hAnsi="Calibri"/>
                <w:b/>
                <w:color w:val="18324B"/>
                <w:sz w:val="18"/>
              </w:rPr>
              <w:t>Status</w:t>
            </w:r>
          </w:p>
        </w:tc>
        <w:tc>
          <w:tcPr>
            <w:tcW w:type="dxa" w:w="7460"/>
            <w:vAlign w:val="center"/>
            <w:tcMar>
              <w:top w:w="80" w:type="dxa"/>
              <w:bottom w:w="80" w:type="dxa"/>
              <w:start w:w="120" w:type="dxa"/>
              <w:end w:w="120" w:type="dxa"/>
            </w:tcMar>
          </w:tcPr>
          <w:p>
            <w:pPr>
              <w:pStyle w:val="TableText"/>
            </w:pPr>
            <w:r>
              <w:rPr>
                <w:rFonts w:ascii="Calibri" w:hAnsi="Calibri"/>
                <w:b w:val="0"/>
                <w:sz w:val="18"/>
              </w:rPr>
              <w:t>Attorney redline requested</w:t>
            </w:r>
          </w:p>
        </w:tc>
      </w:tr>
      <w:tr>
        <w:trPr>
          <w:cantSplit w:val="true"/>
        </w:trPr>
        <w:tc>
          <w:tcPr>
            <w:tcW w:type="dxa" w:w="1900"/>
            <w:shd w:fill="F2F4F7"/>
            <w:vAlign w:val="center"/>
            <w:tcMar>
              <w:top w:w="80" w:type="dxa"/>
              <w:bottom w:w="80" w:type="dxa"/>
              <w:start w:w="120" w:type="dxa"/>
              <w:end w:w="120" w:type="dxa"/>
            </w:tcMar>
          </w:tcPr>
          <w:p>
            <w:pPr>
              <w:pStyle w:val="TableText"/>
            </w:pPr>
            <w:r>
              <w:rPr>
                <w:rFonts w:ascii="Calibri" w:hAnsi="Calibri"/>
                <w:b/>
                <w:color w:val="18324B"/>
                <w:sz w:val="18"/>
              </w:rPr>
              <w:t>Governing baseline</w:t>
            </w:r>
          </w:p>
        </w:tc>
        <w:tc>
          <w:tcPr>
            <w:tcW w:type="dxa" w:w="7460"/>
            <w:vAlign w:val="center"/>
            <w:tcMar>
              <w:top w:w="80" w:type="dxa"/>
              <w:bottom w:w="80" w:type="dxa"/>
              <w:start w:w="120" w:type="dxa"/>
              <w:end w:w="120" w:type="dxa"/>
            </w:tcMar>
          </w:tcPr>
          <w:p>
            <w:pPr>
              <w:pStyle w:val="TableText"/>
            </w:pPr>
            <w:r>
              <w:rPr>
                <w:rFonts w:ascii="Calibri" w:hAnsi="Calibri"/>
                <w:b w:val="0"/>
                <w:sz w:val="18"/>
              </w:rPr>
              <w:t>Georgia law; counsel to confirm trust jurisdiction and family-law effects</w:t>
            </w:r>
          </w:p>
        </w:tc>
      </w:tr>
    </w:tbl>
    <w:p>
      <w:pPr>
        <w:spacing w:after="40"/>
      </w:pPr>
    </w:p>
    <w:p>
      <w:pPr>
        <w:spacing w:before="40" w:after="160"/>
        <w:pBdr>
          <w:bottom w:val="single" w:sz="10" w:space="2" w:color="2E74B5"/>
        </w:pBdr>
      </w:pPr>
    </w:p>
    <w:p>
      <w:pPr>
        <w:pStyle w:val="Heading1"/>
        <w:pageBreakBefore w:val="0"/>
      </w:pPr>
      <w:r>
        <w:rPr>
          <w:rFonts w:ascii="Calibri" w:hAnsi="Calibri"/>
          <w:b/>
        </w:rPr>
        <w:t>DRAFT FOR DISCUSSION - NOT FOR SIGNATURE OR FILING - ATTORNEY/CPA REVIEW REQUIRED</w:t>
      </w:r>
    </w:p>
    <w:p>
      <w:pPr>
        <w:keepLines w:val="0"/>
        <w:widowControl/>
      </w:pPr>
      <w:r>
        <w:rPr>
          <w:rFonts w:ascii="Calibri" w:hAnsi="Calibri"/>
          <w:b/>
          <w:sz w:val="20"/>
        </w:rPr>
        <w:t>Date:</w:t>
      </w:r>
      <w:r>
        <w:rPr>
          <w:rFonts w:ascii="Calibri" w:hAnsi="Calibri"/>
          <w:b w:val="0"/>
          <w:sz w:val="20"/>
        </w:rPr>
        <w:t xml:space="preserve"> July 11, 2026 </w:t>
      </w:r>
      <w:r>
        <w:rPr>
          <w:rFonts w:ascii="Calibri" w:hAnsi="Calibri"/>
          <w:b/>
          <w:sz w:val="20"/>
        </w:rPr>
        <w:t>Company:</w:t>
      </w:r>
      <w:r>
        <w:rPr>
          <w:rFonts w:ascii="Calibri" w:hAnsi="Calibri"/>
          <w:b w:val="0"/>
          <w:sz w:val="20"/>
        </w:rPr>
        <w:t xml:space="preserve"> Caisson Software LLC, a Georgia limited liability company </w:t>
      </w:r>
      <w:r>
        <w:rPr>
          <w:rFonts w:ascii="Calibri" w:hAnsi="Calibri"/>
          <w:b/>
          <w:sz w:val="20"/>
        </w:rPr>
        <w:t>Purpose:</w:t>
      </w:r>
      <w:r>
        <w:rPr>
          <w:rFonts w:ascii="Calibri" w:hAnsi="Calibri"/>
          <w:b w:val="0"/>
          <w:sz w:val="20"/>
        </w:rPr>
        <w:t xml:space="preserve"> Give counsel a concrete direction for present ownership, management, succession, and the fixed handoff to Liam Thadani </w:t>
      </w:r>
      <w:r>
        <w:rPr>
          <w:rFonts w:ascii="Calibri" w:hAnsi="Calibri"/>
          <w:b/>
          <w:sz w:val="20"/>
        </w:rPr>
        <w:t>Status:</w:t>
      </w:r>
      <w:r>
        <w:rPr>
          <w:rFonts w:ascii="Calibri" w:hAnsi="Calibri"/>
          <w:b w:val="0"/>
          <w:sz w:val="20"/>
        </w:rPr>
        <w:t xml:space="preserve"> Client objectives and proposed terms only; not an executed trust, operating agreement, transfer, member action, tax election, or legal opinion</w:t>
      </w:r>
    </w:p>
    <w:p>
      <w:pPr>
        <w:keepLines w:val="0"/>
        <w:widowControl/>
      </w:pPr>
      <w:r>
        <w:rPr>
          <w:rFonts w:ascii="Calibri" w:hAnsi="Calibri"/>
          <w:b w:val="0"/>
          <w:sz w:val="20"/>
        </w:rPr>
        <w:t>Vik Thadani is reported to be the existing lawyer's client and the CPA's only current client. Neither advisor is assumed to represent Caisson, Lakshmi, Liam, or the proposed trust. Substantive work and sharing of personal-account data should begin only after written engagement, conflict, consent, instruction, recipient, and confidentiality boundaries are established.</w:t>
      </w:r>
    </w:p>
    <w:p>
      <w:pPr>
        <w:pStyle w:val="Heading1"/>
        <w:pageBreakBefore w:val="0"/>
      </w:pPr>
      <w:r>
        <w:rPr>
          <w:rFonts w:ascii="Calibri" w:hAnsi="Calibri"/>
          <w:b/>
        </w:rPr>
        <w:t>Executive direction</w:t>
      </w:r>
    </w:p>
    <w:p>
      <w:pPr>
        <w:keepLines w:val="0"/>
        <w:widowControl/>
      </w:pPr>
      <w:r>
        <w:rPr>
          <w:rFonts w:ascii="Calibri" w:hAnsi="Calibri"/>
          <w:b w:val="0"/>
          <w:sz w:val="20"/>
        </w:rPr>
        <w:t>The requested structure is a full-member irrevocable private trust, not a future promise and not an economic-rights-only assignment.</w:t>
      </w:r>
    </w:p>
    <w:p>
      <w:pPr>
        <w:widowControl/>
        <w:numPr>
          <w:ilvl w:val="0"/>
          <w:numId w:val="10"/>
        </w:numPr>
        <w:spacing w:after="30" w:line="240" w:lineRule="auto"/>
      </w:pPr>
      <w:r>
        <w:rPr>
          <w:rFonts w:ascii="Calibri" w:hAnsi="Calibri"/>
          <w:b w:val="0"/>
          <w:sz w:val="19"/>
        </w:rPr>
        <w:t>Lakshmi Delbel creates and funds the trust with the entire Caisson Software LLC interest.</w:t>
      </w:r>
    </w:p>
    <w:p>
      <w:pPr>
        <w:widowControl/>
        <w:numPr>
          <w:ilvl w:val="0"/>
          <w:numId w:val="10"/>
        </w:numPr>
        <w:spacing w:after="30" w:line="240" w:lineRule="auto"/>
      </w:pPr>
      <w:r>
        <w:rPr>
          <w:rFonts w:ascii="Calibri" w:hAnsi="Calibri"/>
          <w:b w:val="0"/>
          <w:sz w:val="19"/>
        </w:rPr>
        <w:t>Lakshmi is settlor and initial trustee. Legal title is held by Lakshmi solely as trustee, and the trustee is admitted as Caisson's sole member.</w:t>
      </w:r>
    </w:p>
    <w:p>
      <w:pPr>
        <w:widowControl/>
        <w:numPr>
          <w:ilvl w:val="0"/>
          <w:numId w:val="10"/>
        </w:numPr>
        <w:spacing w:after="30" w:line="240" w:lineRule="auto"/>
      </w:pPr>
      <w:r>
        <w:rPr>
          <w:rFonts w:ascii="Calibri" w:hAnsi="Calibri"/>
          <w:b w:val="0"/>
          <w:sz w:val="19"/>
        </w:rPr>
        <w:t>After a valid coordinated closing, Liam Thadani is intended to hold the trust's sole current beneficial interest while living before the handoff, intended to be vested subject to complete divestment at the stated death condition. He is not the current direct LLC member.</w:t>
      </w:r>
    </w:p>
    <w:p>
      <w:pPr>
        <w:widowControl/>
        <w:numPr>
          <w:ilvl w:val="0"/>
          <w:numId w:val="10"/>
        </w:numPr>
        <w:spacing w:after="30" w:line="240" w:lineRule="auto"/>
      </w:pPr>
      <w:r>
        <w:rPr>
          <w:rFonts w:ascii="Calibri" w:hAnsi="Calibri"/>
          <w:b w:val="0"/>
          <w:sz w:val="19"/>
        </w:rPr>
        <w:t>Lakshmi separately serves as initial LLC manager. Her manager office is not an economic interest.</w:t>
      </w:r>
    </w:p>
    <w:p>
      <w:pPr>
        <w:widowControl/>
        <w:numPr>
          <w:ilvl w:val="0"/>
          <w:numId w:val="10"/>
        </w:numPr>
        <w:spacing w:after="30" w:line="240" w:lineRule="auto"/>
      </w:pPr>
      <w:r>
        <w:rPr>
          <w:rFonts w:ascii="Calibri" w:hAnsi="Calibri"/>
          <w:b w:val="0"/>
          <w:sz w:val="19"/>
        </w:rPr>
        <w:t>Vik Thadani is first successor trustee and first successor manager. If Lakshmi and Vik Thadani cannot serve, an independent professional fiduciary and court-supervised manager path applies.</w:t>
      </w:r>
    </w:p>
    <w:p>
      <w:pPr>
        <w:widowControl/>
        <w:numPr>
          <w:ilvl w:val="0"/>
          <w:numId w:val="10"/>
        </w:numPr>
        <w:spacing w:after="30" w:line="240" w:lineRule="auto"/>
      </w:pPr>
      <w:r>
        <w:rPr>
          <w:rFonts w:ascii="Calibri" w:hAnsi="Calibri"/>
          <w:b w:val="0"/>
          <w:sz w:val="19"/>
        </w:rPr>
        <w:t>At 12:01 a.m. Eastern Time on August 19, 2027, the trust distributes the entire economic interest to Liam. He becomes sole voting member and manager only through valid adult consent and admission documents; a limited no-gap fallback applies if that consent is not then effective.</w:t>
      </w:r>
    </w:p>
    <w:p>
      <w:pPr>
        <w:widowControl/>
        <w:numPr>
          <w:ilvl w:val="0"/>
          <w:numId w:val="10"/>
        </w:numPr>
        <w:spacing w:after="30" w:line="240" w:lineRule="auto"/>
      </w:pPr>
      <w:r>
        <w:rPr>
          <w:rFonts w:ascii="Calibri" w:hAnsi="Calibri"/>
          <w:b w:val="0"/>
          <w:sz w:val="19"/>
        </w:rPr>
        <w:t>If Liam dies before that time, his beneficial interest ends and the trust property shifts to Lakshmi. Counsel must address the sequence in which Lakshmi is not living or death order is uncertain.</w:t>
      </w:r>
    </w:p>
    <w:p>
      <w:pPr>
        <w:keepLines w:val="0"/>
        <w:widowControl/>
      </w:pPr>
      <w:r>
        <w:rPr>
          <w:rFonts w:ascii="Calibri" w:hAnsi="Calibri"/>
          <w:b w:val="0"/>
          <w:sz w:val="20"/>
        </w:rPr>
        <w:t>This design gives Liam present profits and appreciation after closing while preserving adult legal control. The documents must keep distinct: trust beneficial interest, legal title, LLC membership, federal income-tax ownership, gift-tax present-interest status, platform-defined beneficial ownership, and management authority. The structure is intended to create a present completed gift, but an irrevocable label or state-law vesting description does not decide that federal tax result.</w:t>
      </w:r>
    </w:p>
    <w:p>
      <w:pPr>
        <w:pStyle w:val="Heading1"/>
        <w:pageBreakBefore w:val="0"/>
      </w:pPr>
      <w:r>
        <w:rPr>
          <w:rFonts w:ascii="Calibri" w:hAnsi="Calibri"/>
          <w:b/>
        </w:rPr>
        <w:t>1. Known facts and record status</w:t>
      </w:r>
    </w:p>
    <w:p>
      <w:pPr>
        <w:pStyle w:val="Heading2"/>
        <w:pageBreakBefore w:val="0"/>
      </w:pPr>
      <w:r>
        <w:rPr>
          <w:rFonts w:ascii="Calibri" w:hAnsi="Calibri"/>
          <w:b/>
        </w:rPr>
        <w:t>1.1 Entity record</w:t>
      </w:r>
    </w:p>
    <w:tbl>
      <w:tblPr>
        <w:tblW w:type="dxa" w:w="9360"/>
        <w:tblLayout w:type="fixed"/>
        <w:tblLook w:firstColumn="1" w:firstRow="1" w:lastColumn="0" w:lastRow="0" w:noHBand="0" w:noVBand="1" w:val="04A0"/>
        <w:jc w:val="left"/>
        <w:tblBorders>
          <w:top w:val="single" w:sz="4" w:color="C8D0D9"/>
          <w:left w:val="single" w:sz="4" w:color="C8D0D9"/>
          <w:bottom w:val="single" w:sz="4" w:color="C8D0D9"/>
          <w:right w:val="single" w:sz="4" w:color="C8D0D9"/>
          <w:insideH w:val="single" w:sz="4" w:color="C8D0D9"/>
          <w:insideV w:val="single" w:sz="4" w:color="C8D0D9"/>
        </w:tblBorders>
        <w:tblInd w:type="dxa" w:w="120"/>
      </w:tblPr>
      <w:tblGrid>
        <w:gridCol w:w="2100"/>
        <w:gridCol w:w="7260"/>
      </w:tblGrid>
      <w:tr>
        <w:trPr>
          <w:cantSplit w:val="true"/>
          <w:tblHeader w:val="true"/>
        </w:trPr>
        <w:tc>
          <w:tcPr>
            <w:tcW w:type="dxa" w:w="2100"/>
            <w:vAlign w:val="center"/>
            <w:shd w:fill="F2F4F7"/>
            <w:tcMar>
              <w:top w:w="80" w:type="dxa"/>
              <w:bottom w:w="80" w:type="dxa"/>
              <w:start w:w="120" w:type="dxa"/>
              <w:end w:w="120" w:type="dxa"/>
            </w:tcMar>
          </w:tcPr>
          <w:p>
            <w:pPr>
              <w:pStyle w:val="TableText"/>
              <w:jc w:val="left"/>
            </w:pPr>
            <w:r>
              <w:rPr>
                <w:rFonts w:ascii="Calibri" w:hAnsi="Calibri"/>
                <w:b/>
                <w:color w:val="18324B"/>
                <w:sz w:val="17"/>
              </w:rPr>
              <w:t>Item</w:t>
            </w:r>
          </w:p>
        </w:tc>
        <w:tc>
          <w:tcPr>
            <w:tcW w:type="dxa" w:w="7260"/>
            <w:vAlign w:val="center"/>
            <w:shd w:fill="F2F4F7"/>
            <w:tcMar>
              <w:top w:w="80" w:type="dxa"/>
              <w:bottom w:w="80" w:type="dxa"/>
              <w:start w:w="120" w:type="dxa"/>
              <w:end w:w="120" w:type="dxa"/>
            </w:tcMar>
          </w:tcPr>
          <w:p>
            <w:pPr>
              <w:pStyle w:val="TableText"/>
              <w:jc w:val="left"/>
            </w:pPr>
            <w:r>
              <w:rPr>
                <w:rFonts w:ascii="Calibri" w:hAnsi="Calibri"/>
                <w:b/>
                <w:color w:val="18324B"/>
                <w:sz w:val="17"/>
              </w:rPr>
              <w:t>Record</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Legal name</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Caisson Software LLC</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Type</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Georgia domestic limited liability company</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Effective organization date</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July 6, 2026</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Georgia control number</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26147198</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Certificate date</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July 8, 2026</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Registered agent</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Northwest Registered Agent Service, Inc.</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Formation principal and registered office</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8735 Dunwoody Place Ste N, Atlanta, GA 30350</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EIN</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42-3746402</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EIN notice date and mailing address</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July 10, 2026; 1227 Barnes St NW, Atlanta, GA 30318</w:t>
            </w:r>
          </w:p>
        </w:tc>
      </w:tr>
      <w:tr>
        <w:trPr>
          <w:cantSplit w:val="true"/>
        </w:trPr>
        <w:tc>
          <w:tcPr>
            <w:tcW w:type="dxa" w:w="2100"/>
            <w:vAlign w:val="top"/>
            <w:tcMar>
              <w:top w:w="80" w:type="dxa"/>
              <w:bottom w:w="80" w:type="dxa"/>
              <w:start w:w="120" w:type="dxa"/>
              <w:end w:w="120" w:type="dxa"/>
            </w:tcMar>
          </w:tcPr>
          <w:p>
            <w:pPr>
              <w:pStyle w:val="TableText"/>
              <w:jc w:val="left"/>
            </w:pPr>
            <w:r>
              <w:rPr>
                <w:rFonts w:ascii="Calibri" w:hAnsi="Calibri"/>
                <w:b w:val="0"/>
                <w:sz w:val="18"/>
              </w:rPr>
              <w:t>Member identified in reviewed records</w:t>
            </w:r>
          </w:p>
        </w:tc>
        <w:tc>
          <w:tcPr>
            <w:tcW w:type="dxa" w:w="7260"/>
            <w:vAlign w:val="top"/>
            <w:tcMar>
              <w:top w:w="80" w:type="dxa"/>
              <w:bottom w:w="80" w:type="dxa"/>
              <w:start w:w="120" w:type="dxa"/>
              <w:end w:w="120" w:type="dxa"/>
            </w:tcMar>
          </w:tcPr>
          <w:p>
            <w:pPr>
              <w:pStyle w:val="TableText"/>
              <w:jc w:val="left"/>
            </w:pPr>
            <w:r>
              <w:rPr>
                <w:rFonts w:ascii="Calibri" w:hAnsi="Calibri"/>
                <w:b w:val="0"/>
                <w:sz w:val="18"/>
              </w:rPr>
              <w:t>Lakshmi Delbel, 100 percent</w:t>
            </w:r>
          </w:p>
        </w:tc>
      </w:tr>
    </w:tbl>
    <w:p>
      <w:pPr>
        <w:spacing w:after="40"/>
      </w:pPr>
    </w:p>
    <w:p>
      <w:pPr>
        <w:keepLines w:val="0"/>
        <w:widowControl/>
      </w:pPr>
      <w:r>
        <w:rPr>
          <w:rFonts w:ascii="Calibri" w:hAnsi="Calibri"/>
          <w:b w:val="0"/>
          <w:sz w:val="20"/>
        </w:rPr>
        <w:t>The Georgia formation and organizer records remain valid. The LLC was validly formed, and the July 8 organizer resolution signed by Nat Smith for Northwest names Lakshmi as member, relinquishes organizer authority, and refers to adoption of general operating-agreement provisions.</w:t>
      </w:r>
    </w:p>
    <w:p>
      <w:pPr>
        <w:keepLines w:val="0"/>
        <w:widowControl/>
      </w:pPr>
      <w:r>
        <w:rPr>
          <w:rFonts w:ascii="Calibri" w:hAnsi="Calibri"/>
          <w:b w:val="0"/>
          <w:sz w:val="20"/>
        </w:rPr>
        <w:t>Lakshmi never signed or dated the separate Northwest operating-agreement form, and no member-signed operating agreement has been located. The form is prefilled, but its member-adoption, contribution, capital, and bank-resolution fields are blank. It was not filed with Georgia, and Georgia does not accept operating agreements for filing. Counsel should determine only the effect of the organizer's reference to general provisions, then selectively ratify valid formation actions, reject unwanted template provisions, and replace the vendor material with a superseding manager-managed operating agreement.</w:t>
      </w:r>
    </w:p>
    <w:p>
      <w:pPr>
        <w:pStyle w:val="Heading2"/>
        <w:pageBreakBefore w:val="0"/>
      </w:pPr>
      <w:r>
        <w:rPr>
          <w:rFonts w:ascii="Calibri" w:hAnsi="Calibri"/>
          <w:b/>
        </w:rPr>
        <w:t>1.2 People, business, and platforms</w:t>
      </w:r>
    </w:p>
    <w:tbl>
      <w:tblPr>
        <w:tblW w:type="dxa" w:w="9360"/>
        <w:tblLayout w:type="fixed"/>
        <w:tblLook w:firstColumn="1" w:firstRow="1" w:lastColumn="0" w:lastRow="0" w:noHBand="0" w:noVBand="1" w:val="04A0"/>
        <w:jc w:val="left"/>
        <w:tblBorders>
          <w:top w:val="single" w:sz="4" w:color="C8D0D9"/>
          <w:left w:val="single" w:sz="4" w:color="C8D0D9"/>
          <w:bottom w:val="single" w:sz="4" w:color="C8D0D9"/>
          <w:right w:val="single" w:sz="4" w:color="C8D0D9"/>
          <w:insideH w:val="single" w:sz="4" w:color="C8D0D9"/>
          <w:insideV w:val="single" w:sz="4" w:color="C8D0D9"/>
        </w:tblBorders>
        <w:tblInd w:type="dxa" w:w="120"/>
      </w:tblPr>
      <w:tblGrid>
        <w:gridCol w:w="1800"/>
        <w:gridCol w:w="3400"/>
        <w:gridCol w:w="4160"/>
      </w:tblGrid>
      <w:tr>
        <w:trPr>
          <w:cantSplit w:val="true"/>
          <w:tblHeader w:val="true"/>
        </w:trPr>
        <w:tc>
          <w:tcPr>
            <w:tcW w:type="dxa" w:w="1800"/>
            <w:vAlign w:val="center"/>
            <w:shd w:fill="F2F4F7"/>
            <w:tcMar>
              <w:top w:w="80" w:type="dxa"/>
              <w:bottom w:w="80" w:type="dxa"/>
              <w:start w:w="120" w:type="dxa"/>
              <w:end w:w="120" w:type="dxa"/>
            </w:tcMar>
          </w:tcPr>
          <w:p>
            <w:pPr>
              <w:pStyle w:val="TableText"/>
              <w:jc w:val="left"/>
            </w:pPr>
            <w:r>
              <w:rPr>
                <w:rFonts w:ascii="Calibri" w:hAnsi="Calibri"/>
                <w:b/>
                <w:color w:val="18324B"/>
                <w:sz w:val="17"/>
              </w:rPr>
              <w:t>Person</w:t>
            </w:r>
          </w:p>
        </w:tc>
        <w:tc>
          <w:tcPr>
            <w:tcW w:type="dxa" w:w="3400"/>
            <w:vAlign w:val="center"/>
            <w:shd w:fill="F2F4F7"/>
            <w:tcMar>
              <w:top w:w="80" w:type="dxa"/>
              <w:bottom w:w="80" w:type="dxa"/>
              <w:start w:w="120" w:type="dxa"/>
              <w:end w:w="120" w:type="dxa"/>
            </w:tcMar>
          </w:tcPr>
          <w:p>
            <w:pPr>
              <w:pStyle w:val="TableText"/>
              <w:jc w:val="left"/>
            </w:pPr>
            <w:r>
              <w:rPr>
                <w:rFonts w:ascii="Calibri" w:hAnsi="Calibri"/>
                <w:b/>
                <w:color w:val="18324B"/>
                <w:sz w:val="17"/>
              </w:rPr>
              <w:t>Current fact</w:t>
            </w:r>
          </w:p>
        </w:tc>
        <w:tc>
          <w:tcPr>
            <w:tcW w:type="dxa" w:w="4160"/>
            <w:vAlign w:val="center"/>
            <w:shd w:fill="F2F4F7"/>
            <w:tcMar>
              <w:top w:w="80" w:type="dxa"/>
              <w:bottom w:w="80" w:type="dxa"/>
              <w:start w:w="120" w:type="dxa"/>
              <w:end w:w="120" w:type="dxa"/>
            </w:tcMar>
          </w:tcPr>
          <w:p>
            <w:pPr>
              <w:pStyle w:val="TableText"/>
              <w:jc w:val="left"/>
            </w:pPr>
            <w:r>
              <w:rPr>
                <w:rFonts w:ascii="Calibri" w:hAnsi="Calibri"/>
                <w:b/>
                <w:color w:val="18324B"/>
                <w:sz w:val="17"/>
              </w:rPr>
              <w:t>Requested role</w:t>
            </w:r>
          </w:p>
        </w:tc>
      </w:tr>
      <w:tr>
        <w:trPr>
          <w:cantSplit w:val="true"/>
        </w:trPr>
        <w:tc>
          <w:tcPr>
            <w:tcW w:type="dxa" w:w="1800"/>
            <w:vAlign w:val="top"/>
            <w:tcMar>
              <w:top w:w="80" w:type="dxa"/>
              <w:bottom w:w="80" w:type="dxa"/>
              <w:start w:w="120" w:type="dxa"/>
              <w:end w:w="120" w:type="dxa"/>
            </w:tcMar>
          </w:tcPr>
          <w:p>
            <w:pPr>
              <w:pStyle w:val="TableText"/>
              <w:jc w:val="left"/>
            </w:pPr>
            <w:r>
              <w:rPr>
                <w:rFonts w:ascii="Calibri" w:hAnsi="Calibri"/>
                <w:b w:val="0"/>
                <w:sz w:val="18"/>
              </w:rPr>
              <w:t>Lakshmi Delbel</w:t>
            </w:r>
          </w:p>
        </w:tc>
        <w:tc>
          <w:tcPr>
            <w:tcW w:type="dxa" w:w="3400"/>
            <w:vAlign w:val="top"/>
            <w:tcMar>
              <w:top w:w="80" w:type="dxa"/>
              <w:bottom w:w="80" w:type="dxa"/>
              <w:start w:w="120" w:type="dxa"/>
              <w:end w:w="120" w:type="dxa"/>
            </w:tcMar>
          </w:tcPr>
          <w:p>
            <w:pPr>
              <w:pStyle w:val="TableText"/>
              <w:jc w:val="left"/>
            </w:pPr>
            <w:r>
              <w:rPr>
                <w:rFonts w:ascii="Calibri" w:hAnsi="Calibri"/>
                <w:b w:val="0"/>
                <w:sz w:val="18"/>
              </w:rPr>
              <w:t>Liam's mother; sole member identified in reviewed records</w:t>
            </w:r>
          </w:p>
        </w:tc>
        <w:tc>
          <w:tcPr>
            <w:tcW w:type="dxa" w:w="4160"/>
            <w:vAlign w:val="top"/>
            <w:tcMar>
              <w:top w:w="80" w:type="dxa"/>
              <w:bottom w:w="80" w:type="dxa"/>
              <w:start w:w="120" w:type="dxa"/>
              <w:end w:w="120" w:type="dxa"/>
            </w:tcMar>
          </w:tcPr>
          <w:p>
            <w:pPr>
              <w:pStyle w:val="TableText"/>
              <w:jc w:val="left"/>
            </w:pPr>
            <w:r>
              <w:rPr>
                <w:rFonts w:ascii="Calibri" w:hAnsi="Calibri"/>
                <w:b w:val="0"/>
                <w:sz w:val="18"/>
              </w:rPr>
              <w:t>Settlor, initial trustee, initial manager, adult legal signatory where required</w:t>
            </w:r>
          </w:p>
        </w:tc>
      </w:tr>
      <w:tr>
        <w:trPr>
          <w:cantSplit w:val="true"/>
        </w:trPr>
        <w:tc>
          <w:tcPr>
            <w:tcW w:type="dxa" w:w="1800"/>
            <w:vAlign w:val="top"/>
            <w:tcMar>
              <w:top w:w="80" w:type="dxa"/>
              <w:bottom w:w="80" w:type="dxa"/>
              <w:start w:w="120" w:type="dxa"/>
              <w:end w:w="120" w:type="dxa"/>
            </w:tcMar>
          </w:tcPr>
          <w:p>
            <w:pPr>
              <w:pStyle w:val="TableText"/>
              <w:jc w:val="left"/>
            </w:pPr>
            <w:r>
              <w:rPr>
                <w:rFonts w:ascii="Calibri" w:hAnsi="Calibri"/>
                <w:b w:val="0"/>
                <w:sz w:val="18"/>
              </w:rPr>
              <w:t>Liam Thadani</w:t>
            </w:r>
          </w:p>
        </w:tc>
        <w:tc>
          <w:tcPr>
            <w:tcW w:type="dxa" w:w="3400"/>
            <w:vAlign w:val="top"/>
            <w:tcMar>
              <w:top w:w="80" w:type="dxa"/>
              <w:bottom w:w="80" w:type="dxa"/>
              <w:start w:w="120" w:type="dxa"/>
              <w:end w:w="120" w:type="dxa"/>
            </w:tcMar>
          </w:tcPr>
          <w:p>
            <w:pPr>
              <w:pStyle w:val="TableText"/>
              <w:jc w:val="left"/>
            </w:pPr>
            <w:r>
              <w:rPr>
                <w:rFonts w:ascii="Calibri" w:hAnsi="Calibri"/>
                <w:b w:val="0"/>
                <w:sz w:val="18"/>
              </w:rPr>
              <w:t>Born August 19, 2009; principal operator and principal known author</w:t>
            </w:r>
          </w:p>
        </w:tc>
        <w:tc>
          <w:tcPr>
            <w:tcW w:type="dxa" w:w="4160"/>
            <w:vAlign w:val="top"/>
            <w:tcMar>
              <w:top w:w="80" w:type="dxa"/>
              <w:bottom w:w="80" w:type="dxa"/>
              <w:start w:w="120" w:type="dxa"/>
              <w:end w:w="120" w:type="dxa"/>
            </w:tcMar>
          </w:tcPr>
          <w:p>
            <w:pPr>
              <w:pStyle w:val="TableText"/>
              <w:jc w:val="left"/>
            </w:pPr>
            <w:r>
              <w:rPr>
                <w:rFonts w:ascii="Calibri" w:hAnsi="Calibri"/>
                <w:b w:val="0"/>
                <w:sz w:val="18"/>
              </w:rPr>
              <w:t>Intended sole beneficiary after closing; sole direct member and manager after valid handoff consent</w:t>
            </w:r>
          </w:p>
        </w:tc>
      </w:tr>
      <w:tr>
        <w:trPr>
          <w:cantSplit w:val="true"/>
        </w:trPr>
        <w:tc>
          <w:tcPr>
            <w:tcW w:type="dxa" w:w="1800"/>
            <w:vAlign w:val="top"/>
            <w:tcMar>
              <w:top w:w="80" w:type="dxa"/>
              <w:bottom w:w="80" w:type="dxa"/>
              <w:start w:w="120" w:type="dxa"/>
              <w:end w:w="120" w:type="dxa"/>
            </w:tcMar>
          </w:tcPr>
          <w:p>
            <w:pPr>
              <w:pStyle w:val="TableText"/>
              <w:jc w:val="left"/>
            </w:pPr>
            <w:r>
              <w:rPr>
                <w:rFonts w:ascii="Calibri" w:hAnsi="Calibri"/>
                <w:b w:val="0"/>
                <w:sz w:val="18"/>
              </w:rPr>
              <w:t>Vik Thadani</w:t>
            </w:r>
          </w:p>
        </w:tc>
        <w:tc>
          <w:tcPr>
            <w:tcW w:type="dxa" w:w="3400"/>
            <w:vAlign w:val="top"/>
            <w:tcMar>
              <w:top w:w="80" w:type="dxa"/>
              <w:bottom w:w="80" w:type="dxa"/>
              <w:start w:w="120" w:type="dxa"/>
              <w:end w:w="120" w:type="dxa"/>
            </w:tcMar>
          </w:tcPr>
          <w:p>
            <w:pPr>
              <w:pStyle w:val="TableText"/>
              <w:jc w:val="left"/>
            </w:pPr>
            <w:r>
              <w:rPr>
                <w:rFonts w:ascii="Calibri" w:hAnsi="Calibri"/>
                <w:b w:val="0"/>
                <w:sz w:val="18"/>
              </w:rPr>
              <w:t>Liam's father; family-selected successor and historical funder</w:t>
            </w:r>
          </w:p>
        </w:tc>
        <w:tc>
          <w:tcPr>
            <w:tcW w:type="dxa" w:w="4160"/>
            <w:vAlign w:val="top"/>
            <w:tcMar>
              <w:top w:w="80" w:type="dxa"/>
              <w:bottom w:w="80" w:type="dxa"/>
              <w:start w:w="120" w:type="dxa"/>
              <w:end w:w="120" w:type="dxa"/>
            </w:tcMar>
          </w:tcPr>
          <w:p>
            <w:pPr>
              <w:pStyle w:val="TableText"/>
              <w:jc w:val="left"/>
            </w:pPr>
            <w:r>
              <w:rPr>
                <w:rFonts w:ascii="Calibri" w:hAnsi="Calibri"/>
                <w:b w:val="0"/>
                <w:sz w:val="18"/>
              </w:rPr>
              <w:t>First successor trustee and manager; no present ownership, lender, capital, or reimbursement status merely from designation</w:t>
            </w:r>
          </w:p>
        </w:tc>
      </w:tr>
    </w:tbl>
    <w:p>
      <w:pPr>
        <w:spacing w:after="40"/>
      </w:pPr>
    </w:p>
    <w:p>
      <w:pPr>
        <w:keepLines w:val="0"/>
        <w:widowControl/>
      </w:pPr>
      <w:r>
        <w:rPr>
          <w:rFonts w:ascii="Calibri" w:hAnsi="Calibri"/>
          <w:b w:val="0"/>
          <w:sz w:val="20"/>
        </w:rPr>
        <w:t>Liam's parents are divorced. Counsel should request only family-law records relevant to Liam's property, parental authority, funding, or the proposed trust.</w:t>
      </w:r>
    </w:p>
    <w:p>
      <w:pPr>
        <w:keepLines w:val="0"/>
        <w:widowControl/>
      </w:pPr>
      <w:r>
        <w:rPr>
          <w:rFonts w:ascii="Calibri" w:hAnsi="Calibri"/>
          <w:b w:val="0"/>
          <w:sz w:val="20"/>
        </w:rPr>
        <w:t xml:space="preserve">Caisson is pre-sale. Marketing, documentation, and legal pages are public. The live license page advertises 15 Apache-2.0 packages, while anonymous registry metadata exposes 16, including </w:t>
      </w:r>
      <w:r>
        <w:rPr>
          <w:rFonts w:ascii="Consolas" w:hAnsi="Consolas"/>
          <w:color w:val="1F4D78"/>
          <w:sz w:val="19"/>
        </w:rPr>
        <w:t>@caisson/analytics</w:t>
      </w:r>
      <w:r>
        <w:rPr>
          <w:rFonts w:ascii="Calibri" w:hAnsi="Calibri"/>
          <w:b w:val="0"/>
          <w:sz w:val="20"/>
        </w:rPr>
        <w:t>. The checked GitHub mirror and representative public npm identifiers returned 404 responses; no downloadable OSS source was located in those checked channels. Reviewed package notices name GridWork Digital LLC; Liam reports that name is stale, that GridWork never owned the Caisson IP, and that the notices will be corrected to Caisson. No GridWork assignment is invented. No executed assignment of Liam's pre-existing IP was found, and the existence or scope of any other human contributor remains unconfirmed.</w:t>
      </w:r>
    </w:p>
    <w:p>
      <w:pPr>
        <w:keepLines w:val="0"/>
        <w:widowControl/>
      </w:pPr>
      <w:r>
        <w:rPr>
          <w:rFonts w:ascii="Calibri" w:hAnsi="Calibri"/>
          <w:b w:val="0"/>
          <w:sz w:val="20"/>
        </w:rPr>
        <w:t>The Mercury and Paddle applications have not been submitted. No ownership, controller, administrator, or user facts have been delivered through either application.</w:t>
      </w:r>
    </w:p>
    <w:p>
      <w:pPr>
        <w:pStyle w:val="Heading1"/>
        <w:pageBreakBefore w:val="0"/>
      </w:pPr>
      <w:r>
        <w:rPr>
          <w:rFonts w:ascii="Calibri" w:hAnsi="Calibri"/>
          <w:b/>
        </w:rPr>
        <w:t>2. Recommended architecture and rejected alternatives</w:t>
      </w:r>
    </w:p>
    <w:p>
      <w:pPr>
        <w:pStyle w:val="Heading2"/>
        <w:pageBreakBefore w:val="0"/>
      </w:pPr>
      <w:r>
        <w:rPr>
          <w:rFonts w:ascii="Calibri" w:hAnsi="Calibri"/>
          <w:b/>
        </w:rPr>
        <w:t>2.1 Why a present full-member trust</w:t>
      </w:r>
    </w:p>
    <w:p>
      <w:pPr>
        <w:keepLines w:val="0"/>
        <w:widowControl/>
      </w:pPr>
      <w:r>
        <w:rPr>
          <w:rFonts w:ascii="Calibri" w:hAnsi="Calibri"/>
          <w:b w:val="0"/>
          <w:sz w:val="20"/>
        </w:rPr>
        <w:t>Liam must receive the present benefit of profits and appreciation, not merely a later gift. The trust should therefore receive the entire LLC interest now. All distributions, appreciation, sale proceeds, and replacement property attributable to that interest are held for Liam, subject to company reserves and the pre-handoff death condition.</w:t>
      </w:r>
    </w:p>
    <w:p>
      <w:pPr>
        <w:keepLines w:val="0"/>
        <w:widowControl/>
      </w:pPr>
      <w:r>
        <w:rPr>
          <w:rFonts w:ascii="Calibri" w:hAnsi="Calibri"/>
          <w:b w:val="0"/>
          <w:sz w:val="20"/>
        </w:rPr>
        <w:t>Georgia separates economic assignment from member admission. An assignee ordinarily receives economics without voting or management rights, and the assignor remains a member until admission occurs. See O.C.G.A. Sections 14-11-502, 14-11-503, and 14-11-505; Hopson v. Bank of North Georgia, 258 Ga. App. 360, 574 S.E.2d 411 (2002).</w:t>
      </w:r>
    </w:p>
    <w:p>
      <w:pPr>
        <w:keepLines w:val="0"/>
        <w:widowControl/>
      </w:pPr>
      <w:r>
        <w:rPr>
          <w:rFonts w:ascii="Calibri" w:hAnsi="Calibri"/>
          <w:b w:val="0"/>
          <w:sz w:val="20"/>
        </w:rPr>
        <w:t>An economic-only trust would leave Lakshmi personally as member while the trust held value, complicating succession and KYC. The cleaner structure records the serving trustee in fiduciary capacity as sole member, Lakshmi individually as manager, and Liam as beneficiary.</w:t>
      </w:r>
    </w:p>
    <w:p>
      <w:pPr>
        <w:pStyle w:val="Heading2"/>
        <w:pageBreakBefore w:val="0"/>
      </w:pPr>
      <w:r>
        <w:rPr>
          <w:rFonts w:ascii="Calibri" w:hAnsi="Calibri"/>
          <w:b/>
        </w:rPr>
        <w:t>2.2 Why a future-transfer promise is insufficient</w:t>
      </w:r>
    </w:p>
    <w:p>
      <w:pPr>
        <w:keepLines w:val="0"/>
        <w:widowControl/>
      </w:pPr>
      <w:r>
        <w:rPr>
          <w:rFonts w:ascii="Calibri" w:hAnsi="Calibri"/>
          <w:b w:val="0"/>
          <w:sz w:val="20"/>
        </w:rPr>
        <w:t>A promise to give the LLC in 2027 would not give Liam present economics and would remain exposed to death, incapacity, creditor, delivery, and enforceability risks. Georgia gift law generally requires intent, acceptance, and delivery; equity generally does not specifically enforce a voluntary promise. See O.C.G.A. Sections 44-5-80 through 44-5-83 and 23-2-132.</w:t>
      </w:r>
    </w:p>
    <w:p>
      <w:pPr>
        <w:keepLines w:val="0"/>
        <w:widowControl/>
      </w:pPr>
      <w:r>
        <w:rPr>
          <w:rFonts w:ascii="Calibri" w:hAnsi="Calibri"/>
          <w:b w:val="0"/>
          <w:sz w:val="20"/>
        </w:rPr>
        <w:t>A private express trust must be signed, identify its property, beneficiary, trustee, purpose, and duties, and actually receive legal title. See O.C.G.A. Sections 53-12-20 and 53-12-25. It should reserve no broad revocation power. See O.C.G.A. Section 53-12-40.</w:t>
      </w:r>
    </w:p>
    <w:p>
      <w:pPr>
        <w:pStyle w:val="Heading1"/>
        <w:pageBreakBefore w:val="0"/>
      </w:pPr>
      <w:r>
        <w:rPr>
          <w:rFonts w:ascii="Calibri" w:hAnsi="Calibri"/>
          <w:b/>
        </w:rPr>
        <w:t>3. Formation cleanup and coordinated closing</w:t>
      </w:r>
    </w:p>
    <w:p>
      <w:pPr>
        <w:pStyle w:val="Heading2"/>
        <w:pageBreakBefore w:val="0"/>
      </w:pPr>
      <w:r>
        <w:rPr>
          <w:rFonts w:ascii="Calibri" w:hAnsi="Calibri"/>
          <w:b/>
        </w:rPr>
        <w:t>3.1 Selective ratification</w:t>
      </w:r>
    </w:p>
    <w:p>
      <w:pPr>
        <w:keepLines w:val="0"/>
        <w:widowControl/>
      </w:pPr>
      <w:r>
        <w:rPr>
          <w:rFonts w:ascii="Calibri" w:hAnsi="Calibri"/>
          <w:b w:val="0"/>
          <w:sz w:val="20"/>
        </w:rPr>
        <w:t>The initial member action should:</w:t>
      </w:r>
    </w:p>
    <w:p>
      <w:pPr>
        <w:widowControl/>
        <w:numPr>
          <w:ilvl w:val="0"/>
          <w:numId w:val="11"/>
        </w:numPr>
        <w:spacing w:after="30" w:line="240" w:lineRule="auto"/>
      </w:pPr>
      <w:r>
        <w:rPr>
          <w:rFonts w:ascii="Calibri" w:hAnsi="Calibri"/>
          <w:b w:val="0"/>
          <w:sz w:val="19"/>
        </w:rPr>
        <w:t>confirm formation, the certificate, registered agent, EIN application, and organizer handoff;</w:t>
      </w:r>
    </w:p>
    <w:p>
      <w:pPr>
        <w:widowControl/>
        <w:numPr>
          <w:ilvl w:val="0"/>
          <w:numId w:val="11"/>
        </w:numPr>
        <w:spacing w:after="30" w:line="240" w:lineRule="auto"/>
      </w:pPr>
      <w:r>
        <w:rPr>
          <w:rFonts w:ascii="Calibri" w:hAnsi="Calibri"/>
          <w:b w:val="0"/>
          <w:sz w:val="19"/>
        </w:rPr>
        <w:t>confirm only specifically listed authorized pre-closing acts;</w:t>
      </w:r>
    </w:p>
    <w:p>
      <w:pPr>
        <w:widowControl/>
        <w:numPr>
          <w:ilvl w:val="0"/>
          <w:numId w:val="11"/>
        </w:numPr>
        <w:spacing w:after="30" w:line="240" w:lineRule="auto"/>
      </w:pPr>
      <w:r>
        <w:rPr>
          <w:rFonts w:ascii="Calibri" w:hAnsi="Calibri"/>
          <w:b w:val="0"/>
          <w:sz w:val="19"/>
        </w:rPr>
        <w:t>state that Lakshmi did not sign or date the Northwest package;</w:t>
      </w:r>
    </w:p>
    <w:p>
      <w:pPr>
        <w:widowControl/>
        <w:numPr>
          <w:ilvl w:val="0"/>
          <w:numId w:val="11"/>
        </w:numPr>
        <w:spacing w:after="30" w:line="240" w:lineRule="auto"/>
      </w:pPr>
      <w:r>
        <w:rPr>
          <w:rFonts w:ascii="Calibri" w:hAnsi="Calibri"/>
          <w:b w:val="0"/>
          <w:sz w:val="19"/>
        </w:rPr>
        <w:t>state counsel's conclusion on the organizer's general-provisions language;</w:t>
      </w:r>
    </w:p>
    <w:p>
      <w:pPr>
        <w:widowControl/>
        <w:numPr>
          <w:ilvl w:val="0"/>
          <w:numId w:val="11"/>
        </w:numPr>
        <w:spacing w:after="30" w:line="240" w:lineRule="auto"/>
      </w:pPr>
      <w:r>
        <w:rPr>
          <w:rFonts w:ascii="Calibri" w:hAnsi="Calibri"/>
          <w:b w:val="0"/>
          <w:sz w:val="19"/>
        </w:rPr>
        <w:t>exclude the vendor form's dissolution, death, member-only-management, capital, address, and transfer provisions from ratification; and</w:t>
      </w:r>
    </w:p>
    <w:p>
      <w:pPr>
        <w:widowControl/>
        <w:numPr>
          <w:ilvl w:val="0"/>
          <w:numId w:val="11"/>
        </w:numPr>
        <w:spacing w:after="30" w:line="240" w:lineRule="auto"/>
      </w:pPr>
      <w:r>
        <w:rPr>
          <w:rFonts w:ascii="Calibri" w:hAnsi="Calibri"/>
          <w:b w:val="0"/>
          <w:sz w:val="19"/>
        </w:rPr>
        <w:t>make the new operating agreement the sole definitive agreement, superseding prior oral, template, organizer-adopted, or other governance provisions to the fullest lawful extent.</w:t>
      </w:r>
    </w:p>
    <w:p>
      <w:pPr>
        <w:keepLines w:val="0"/>
        <w:widowControl/>
      </w:pPr>
      <w:r>
        <w:rPr>
          <w:rFonts w:ascii="Calibri" w:hAnsi="Calibri"/>
          <w:b w:val="0"/>
          <w:sz w:val="20"/>
        </w:rPr>
        <w:t>This should not be a blanket ratification of unknown contracts, public statements, IP grants, expenses, tax positions, or platform submissions.</w:t>
      </w:r>
    </w:p>
    <w:p>
      <w:pPr>
        <w:keepLines w:val="0"/>
        <w:widowControl/>
      </w:pPr>
      <w:r>
        <w:rPr>
          <w:rFonts w:ascii="Calibri" w:hAnsi="Calibri"/>
          <w:b w:val="0"/>
          <w:sz w:val="20"/>
        </w:rPr>
        <w:t>Georgia permits an operating agreement to be oral and provides a specific signed-writing rule for a single-member agreement. The LLC itself need not sign an agreement that its member validly adopts. See O.C.G.A. Section 14-11-101(18) and Practice Benefits, LLC v. Entera Holdings, LLC, 340 Ga. App. 378, 797 S.E.2d 250 (2017). Those rules are why the packet should not simply declare that no prior agreement exists. Counsel should instead document the facts supporting or negating Lakshmi's assent, state the limited historical conclusion, and supersede all arguable prior provisions through a member-signed definitive agreement. The formation certificate, organizer resolution, vendor package, EIN notice, and counsel conclusion should remain together in the minute book so the corrective history is transparent.</w:t>
      </w:r>
    </w:p>
    <w:p>
      <w:pPr>
        <w:pStyle w:val="Heading2"/>
        <w:pageBreakBefore w:val="0"/>
      </w:pPr>
      <w:r>
        <w:rPr>
          <w:rFonts w:ascii="Calibri" w:hAnsi="Calibri"/>
          <w:b/>
        </w:rPr>
        <w:t>3.2 Closing order</w:t>
      </w:r>
    </w:p>
    <w:p>
      <w:pPr>
        <w:keepLines w:val="0"/>
        <w:widowControl/>
      </w:pPr>
      <w:r>
        <w:rPr>
          <w:rFonts w:ascii="Calibri" w:hAnsi="Calibri"/>
          <w:b w:val="0"/>
          <w:sz w:val="20"/>
        </w:rPr>
        <w:t>Counsel should close the trust, assignment, admission, operating agreement, and management documents as one transaction with a stated order of effectiveness:</w:t>
      </w:r>
    </w:p>
    <w:p>
      <w:pPr>
        <w:widowControl/>
        <w:numPr>
          <w:ilvl w:val="0"/>
          <w:numId w:val="12"/>
        </w:numPr>
        <w:spacing w:after="30" w:line="240" w:lineRule="auto"/>
      </w:pPr>
      <w:r>
        <w:rPr>
          <w:rFonts w:ascii="Calibri" w:hAnsi="Calibri"/>
          <w:b w:val="0"/>
          <w:sz w:val="19"/>
        </w:rPr>
        <w:t>Resolve representation and tax review.</w:t>
      </w:r>
    </w:p>
    <w:p>
      <w:pPr>
        <w:widowControl/>
        <w:numPr>
          <w:ilvl w:val="0"/>
          <w:numId w:val="12"/>
        </w:numPr>
        <w:spacing w:after="30" w:line="240" w:lineRule="auto"/>
      </w:pPr>
      <w:r>
        <w:rPr>
          <w:rFonts w:ascii="Calibri" w:hAnsi="Calibri"/>
          <w:b w:val="0"/>
          <w:sz w:val="19"/>
        </w:rPr>
        <w:t>Adopt selective ratification and the definitive operating agreement, effective with trustee admission.</w:t>
      </w:r>
    </w:p>
    <w:p>
      <w:pPr>
        <w:widowControl/>
        <w:numPr>
          <w:ilvl w:val="0"/>
          <w:numId w:val="12"/>
        </w:numPr>
        <w:spacing w:after="30" w:line="240" w:lineRule="auto"/>
      </w:pPr>
      <w:r>
        <w:rPr>
          <w:rFonts w:ascii="Calibri" w:hAnsi="Calibri"/>
          <w:b w:val="0"/>
          <w:sz w:val="19"/>
        </w:rPr>
        <w:t>Execute the irrevocable trust.</w:t>
      </w:r>
    </w:p>
    <w:p>
      <w:pPr>
        <w:widowControl/>
        <w:numPr>
          <w:ilvl w:val="0"/>
          <w:numId w:val="12"/>
        </w:numPr>
        <w:spacing w:after="30" w:line="240" w:lineRule="auto"/>
      </w:pPr>
      <w:r>
        <w:rPr>
          <w:rFonts w:ascii="Calibri" w:hAnsi="Calibri"/>
          <w:b w:val="0"/>
          <w:sz w:val="19"/>
        </w:rPr>
        <w:t>Lakshmi individually assigns the entire LLC interest to herself solely as trustee.</w:t>
      </w:r>
    </w:p>
    <w:p>
      <w:pPr>
        <w:widowControl/>
        <w:numPr>
          <w:ilvl w:val="0"/>
          <w:numId w:val="12"/>
        </w:numPr>
        <w:spacing w:after="30" w:line="240" w:lineRule="auto"/>
      </w:pPr>
      <w:r>
        <w:rPr>
          <w:rFonts w:ascii="Calibri" w:hAnsi="Calibri"/>
          <w:b w:val="0"/>
          <w:sz w:val="19"/>
        </w:rPr>
        <w:t>Lakshmi individually consents to the trustee's substituted-member admission; the trustee accepts, consents, and joins the operating agreement.</w:t>
      </w:r>
    </w:p>
    <w:p>
      <w:pPr>
        <w:widowControl/>
        <w:numPr>
          <w:ilvl w:val="0"/>
          <w:numId w:val="12"/>
        </w:numPr>
        <w:spacing w:after="30" w:line="240" w:lineRule="auto"/>
      </w:pPr>
      <w:r>
        <w:rPr>
          <w:rFonts w:ascii="Calibri" w:hAnsi="Calibri"/>
          <w:b w:val="0"/>
          <w:sz w:val="19"/>
        </w:rPr>
        <w:t>Update the ledger to the trustee's complete fiduciary title and end Lakshmi's individual membership.</w:t>
      </w:r>
    </w:p>
    <w:p>
      <w:pPr>
        <w:widowControl/>
        <w:numPr>
          <w:ilvl w:val="0"/>
          <w:numId w:val="12"/>
        </w:numPr>
        <w:spacing w:after="30" w:line="240" w:lineRule="auto"/>
      </w:pPr>
      <w:r>
        <w:rPr>
          <w:rFonts w:ascii="Calibri" w:hAnsi="Calibri"/>
          <w:b w:val="0"/>
          <w:sz w:val="19"/>
        </w:rPr>
        <w:t>Make the manager-managed articles amendment effective and appoint Lakshmi individually as manager.</w:t>
      </w:r>
    </w:p>
    <w:p>
      <w:pPr>
        <w:widowControl/>
        <w:numPr>
          <w:ilvl w:val="0"/>
          <w:numId w:val="12"/>
        </w:numPr>
        <w:spacing w:after="30" w:line="240" w:lineRule="auto"/>
      </w:pPr>
      <w:r>
        <w:rPr>
          <w:rFonts w:ascii="Calibri" w:hAnsi="Calibri"/>
          <w:b w:val="0"/>
          <w:sz w:val="19"/>
        </w:rPr>
        <w:t>Execute successor, authority, and age-18 escrow documents.</w:t>
      </w:r>
    </w:p>
    <w:p>
      <w:pPr>
        <w:keepLines w:val="0"/>
        <w:widowControl/>
      </w:pPr>
      <w:r>
        <w:rPr>
          <w:rFonts w:ascii="Calibri" w:hAnsi="Calibri"/>
          <w:b w:val="0"/>
          <w:sz w:val="20"/>
        </w:rPr>
        <w:t>No interim period should leave an economic assignee without the intended member rights or issue a manager certificate before manager-management authority is effective. Georgia permits manager management through articles or a written operating agreement, but filing an articles amendment provides clearer third-party agency treatment under O.C.G.A. Sections 14-11-301 and 14-11-304.</w:t>
      </w:r>
    </w:p>
    <w:p>
      <w:pPr>
        <w:pStyle w:val="Heading1"/>
        <w:pageBreakBefore w:val="0"/>
      </w:pPr>
      <w:r>
        <w:rPr>
          <w:rFonts w:ascii="Calibri" w:hAnsi="Calibri"/>
          <w:b/>
        </w:rPr>
        <w:t>4. Trust drafting terms</w:t>
      </w:r>
    </w:p>
    <w:p>
      <w:pPr>
        <w:pStyle w:val="Heading2"/>
        <w:pageBreakBefore w:val="0"/>
      </w:pPr>
      <w:r>
        <w:rPr>
          <w:rFonts w:ascii="Calibri" w:hAnsi="Calibri"/>
          <w:b/>
        </w:rPr>
        <w:t>4.1 Property and beneficial interest</w:t>
      </w:r>
    </w:p>
    <w:p>
      <w:pPr>
        <w:keepLines w:val="0"/>
        <w:widowControl/>
      </w:pPr>
      <w:r>
        <w:rPr>
          <w:rFonts w:ascii="Calibri" w:hAnsi="Calibri"/>
          <w:b w:val="0"/>
          <w:sz w:val="20"/>
        </w:rPr>
        <w:t>The trust is an irrevocable Georgia private express trust. Its property is the entire Caisson interest and every distribution, accretion, substitution, claim, and proceed attributable to it. The trustee, not an abstract trust name, holds legal title in fiduciary capacity.</w:t>
      </w:r>
    </w:p>
    <w:p>
      <w:pPr>
        <w:keepLines w:val="0"/>
        <w:widowControl/>
      </w:pPr>
      <w:r>
        <w:rPr>
          <w:rFonts w:ascii="Calibri" w:hAnsi="Calibri"/>
          <w:b w:val="0"/>
          <w:sz w:val="20"/>
        </w:rPr>
        <w:t>For state-law drafting purposes, while Liam is living before the handoff he is intended to hold the sole current beneficial interest, intended to be vested subject to administration, a spendthrift restriction, and complete divestment only if he dies before the handoff. Counsel must confirm that characterization. It does not determine income-tax ownership, gift-tax present-interest status, platform beneficial ownership, or direct LLC membership. Liam has no pre-handoff right to withdraw trust property, direct a company vote, remove the trustee, use fiduciary credentials, or bind Caisson merely because he is beneficiary.</w:t>
      </w:r>
    </w:p>
    <w:p>
      <w:pPr>
        <w:keepLines w:val="0"/>
        <w:widowControl/>
      </w:pPr>
      <w:r>
        <w:rPr>
          <w:rFonts w:ascii="Calibri" w:hAnsi="Calibri"/>
          <w:b w:val="0"/>
          <w:sz w:val="20"/>
        </w:rPr>
        <w:t>Company distributions are paid to the trustee and recorded in a separate trust ledger and account. The trust may pay taxes legally imposed on it. Any support payment, tax distribution, or reimbursement to Lakshmi, Liam, or another deemed tax owner requires written counsel and tax advice identifying the legal obligation, taxpayer, payee, formula, cap, and gift or estate consequences. Wages, reimbursements, parental gifts, and trust distributions must use separate approvals and records.</w:t>
      </w:r>
    </w:p>
    <w:p>
      <w:pPr>
        <w:pStyle w:val="Heading2"/>
        <w:pageBreakBefore w:val="0"/>
      </w:pPr>
      <w:r>
        <w:rPr>
          <w:rFonts w:ascii="Calibri" w:hAnsi="Calibri"/>
          <w:b/>
        </w:rPr>
        <w:t>4.2 Irrevocability and fiduciary controls</w:t>
      </w:r>
    </w:p>
    <w:p>
      <w:pPr>
        <w:keepLines w:val="0"/>
        <w:widowControl/>
      </w:pPr>
      <w:r>
        <w:rPr>
          <w:rFonts w:ascii="Calibri" w:hAnsi="Calibri"/>
          <w:b w:val="0"/>
          <w:sz w:val="20"/>
        </w:rPr>
        <w:t>No settlor, trustee, manager, protector, or advisor may revoke the trust, add a beneficiary, redirect Liam's economics, postpone the handoff, alter the death condition, or use trust property for a personal obligation. Narrow administrative correction may be allowed only to comply with law or preserve the fixed result, with independent or court oversight. See O.C.G.A. Sections 53-12-61, 53-12-240, and 53-12-246.</w:t>
      </w:r>
    </w:p>
    <w:p>
      <w:pPr>
        <w:keepLines w:val="0"/>
        <w:widowControl/>
      </w:pPr>
      <w:r>
        <w:rPr>
          <w:rFonts w:ascii="Calibri" w:hAnsi="Calibri"/>
          <w:b w:val="0"/>
          <w:sz w:val="20"/>
        </w:rPr>
        <w:t>Lakshmi will be settlor, trustee, and manager. The instruments should require capacity labels, separate books and accounts, fair terms and independent review for related-party transactions, documented compensation and reimbursements, periodic reporting, and beneficiary-first treatment of trustee decisions. Ordinary manager decisions may use a good-faith business-judgment standard, but trustee discretion cannot divert value.</w:t>
      </w:r>
    </w:p>
    <w:p>
      <w:pPr>
        <w:keepLines w:val="0"/>
        <w:widowControl/>
      </w:pPr>
      <w:r>
        <w:rPr>
          <w:rFonts w:ascii="Calibri" w:hAnsi="Calibri"/>
          <w:b w:val="0"/>
          <w:sz w:val="20"/>
        </w:rPr>
        <w:t>The trustee may retain, finance, restructure, or sell Caisson in good faith. Owner-level cash, securities, rollover equity, notes, earnouts, escrow releases, indemnity recoveries, and other replacement value remain trust property. Company-level sale proceeds remain company property until lawfully distributed.</w:t>
      </w:r>
    </w:p>
    <w:p>
      <w:pPr>
        <w:keepLines w:val="0"/>
        <w:widowControl/>
      </w:pPr>
      <w:r>
        <w:rPr>
          <w:rFonts w:ascii="Calibri" w:hAnsi="Calibri"/>
          <w:b w:val="0"/>
          <w:sz w:val="20"/>
        </w:rPr>
        <w:t>The trustee may vote the LLC interest, make capital contributions, approve a bona fide financing, retain concentrated ownership, settle owner-level claims, and engage advisors, but only for a documented trust or company purpose. A pledge of the LLC interest should require commercially reasonable terms, written risk analysis, and the independent approval mechanism selected by counsel. No borrowing may fund a personal obligation or related-party benefit. A sale or recapitalization should carry the fixed economics into every replacement security and contingent payment, with schedules for escrowed claims, holdbacks, earnouts, indemnity recoveries, and later receipts. The trustee may retain a reasonable tax and expense reserve, but the trust instrument should state the cap, release deadline, reporting, and who receives later recoveries.</w:t>
      </w:r>
    </w:p>
    <w:p>
      <w:pPr>
        <w:pStyle w:val="Heading2"/>
        <w:pageBreakBefore w:val="0"/>
      </w:pPr>
      <w:r>
        <w:rPr>
          <w:rFonts w:ascii="Calibri" w:hAnsi="Calibri"/>
          <w:b/>
        </w:rPr>
        <w:t>4.3 Death and mandatory distribution</w:t>
      </w:r>
    </w:p>
    <w:p>
      <w:pPr>
        <w:keepLines w:val="0"/>
        <w:widowControl/>
      </w:pPr>
      <w:r>
        <w:rPr>
          <w:rFonts w:ascii="Calibri" w:hAnsi="Calibri"/>
          <w:b w:val="0"/>
          <w:sz w:val="20"/>
        </w:rPr>
        <w:t>If Liam dies before 12:01 a.m. Eastern Time on August 19, 2027, his beneficial interest ends and the trust property shifts to Lakshmi, subject to final liabilities. Counsel must supply the remainder if Lakshmi is not then living or order of death is uncertain.</w:t>
      </w:r>
    </w:p>
    <w:p>
      <w:pPr>
        <w:keepLines w:val="0"/>
        <w:widowControl/>
      </w:pPr>
      <w:r>
        <w:rPr>
          <w:rFonts w:ascii="Calibri" w:hAnsi="Calibri"/>
          <w:b w:val="0"/>
          <w:sz w:val="20"/>
        </w:rPr>
        <w:t>If Liam is living, all beneficial and assignable trust property vests in him at the handoff. LLC membership and governance rights become his only upon valid adult consent and admission. A reasonable final tax reserve may remain in bare administration for Liam, with a cap, deadline, and accounting.</w:t>
      </w:r>
    </w:p>
    <w:p>
      <w:pPr>
        <w:pStyle w:val="Heading1"/>
        <w:pageBreakBefore w:val="0"/>
      </w:pPr>
      <w:r>
        <w:rPr>
          <w:rFonts w:ascii="Calibri" w:hAnsi="Calibri"/>
          <w:b/>
        </w:rPr>
        <w:t>5. LLC governance and authority</w:t>
      </w:r>
    </w:p>
    <w:p>
      <w:pPr>
        <w:keepLines w:val="0"/>
        <w:widowControl/>
      </w:pPr>
      <w:r>
        <w:rPr>
          <w:rFonts w:ascii="Calibri" w:hAnsi="Calibri"/>
          <w:b w:val="0"/>
          <w:sz w:val="20"/>
        </w:rPr>
        <w:t>The new operating agreement should provide:</w:t>
      </w:r>
    </w:p>
    <w:p>
      <w:pPr>
        <w:widowControl/>
        <w:numPr>
          <w:ilvl w:val="0"/>
          <w:numId w:val="13"/>
        </w:numPr>
        <w:spacing w:after="30" w:line="240" w:lineRule="auto"/>
      </w:pPr>
      <w:r>
        <w:rPr>
          <w:rFonts w:ascii="Calibri" w:hAnsi="Calibri"/>
          <w:b w:val="0"/>
          <w:sz w:val="19"/>
        </w:rPr>
        <w:t>sole member before handoff: the then-serving trustee in fiduciary capacity;</w:t>
      </w:r>
    </w:p>
    <w:p>
      <w:pPr>
        <w:widowControl/>
        <w:numPr>
          <w:ilvl w:val="0"/>
          <w:numId w:val="13"/>
        </w:numPr>
        <w:spacing w:after="30" w:line="240" w:lineRule="auto"/>
      </w:pPr>
      <w:r>
        <w:rPr>
          <w:rFonts w:ascii="Calibri" w:hAnsi="Calibri"/>
          <w:b w:val="0"/>
          <w:sz w:val="19"/>
        </w:rPr>
        <w:t>initial manager: Lakshmi individually;</w:t>
      </w:r>
    </w:p>
    <w:p>
      <w:pPr>
        <w:widowControl/>
        <w:numPr>
          <w:ilvl w:val="0"/>
          <w:numId w:val="13"/>
        </w:numPr>
        <w:spacing w:after="30" w:line="240" w:lineRule="auto"/>
      </w:pPr>
      <w:r>
        <w:rPr>
          <w:rFonts w:ascii="Calibri" w:hAnsi="Calibri"/>
          <w:b w:val="0"/>
          <w:sz w:val="19"/>
        </w:rPr>
        <w:t>principal operator: Liam as a non-manager employee or limited agent;</w:t>
      </w:r>
    </w:p>
    <w:p>
      <w:pPr>
        <w:widowControl/>
        <w:numPr>
          <w:ilvl w:val="0"/>
          <w:numId w:val="13"/>
        </w:numPr>
        <w:spacing w:after="30" w:line="240" w:lineRule="auto"/>
      </w:pPr>
      <w:r>
        <w:rPr>
          <w:rFonts w:ascii="Calibri" w:hAnsi="Calibri"/>
          <w:b w:val="0"/>
          <w:sz w:val="19"/>
        </w:rPr>
        <w:t>first successor trustee and manager: Vik Thadani, through separate acceptances;</w:t>
      </w:r>
    </w:p>
    <w:p>
      <w:pPr>
        <w:widowControl/>
        <w:numPr>
          <w:ilvl w:val="0"/>
          <w:numId w:val="13"/>
        </w:numPr>
        <w:spacing w:after="30" w:line="240" w:lineRule="auto"/>
      </w:pPr>
      <w:r>
        <w:rPr>
          <w:rFonts w:ascii="Calibri" w:hAnsi="Calibri"/>
          <w:b w:val="0"/>
          <w:sz w:val="19"/>
        </w:rPr>
        <w:t>perpetual existence and no dissolution from death, incapacity, trustee change, assignment, or loss of a particular manager;</w:t>
      </w:r>
    </w:p>
    <w:p>
      <w:pPr>
        <w:widowControl/>
        <w:numPr>
          <w:ilvl w:val="0"/>
          <w:numId w:val="13"/>
        </w:numPr>
        <w:spacing w:after="30" w:line="240" w:lineRule="auto"/>
      </w:pPr>
      <w:r>
        <w:rPr>
          <w:rFonts w:ascii="Calibri" w:hAnsi="Calibri"/>
          <w:b w:val="0"/>
          <w:sz w:val="19"/>
        </w:rPr>
        <w:t>no additional member, equity, option, profits interest, pledge, or dilution before handoff;</w:t>
      </w:r>
    </w:p>
    <w:p>
      <w:pPr>
        <w:widowControl/>
        <w:numPr>
          <w:ilvl w:val="0"/>
          <w:numId w:val="13"/>
        </w:numPr>
        <w:spacing w:after="30" w:line="240" w:lineRule="auto"/>
      </w:pPr>
      <w:r>
        <w:rPr>
          <w:rFonts w:ascii="Calibri" w:hAnsi="Calibri"/>
          <w:b w:val="0"/>
          <w:sz w:val="19"/>
        </w:rPr>
        <w:t>express separation of economic assignment from member admission; and</w:t>
      </w:r>
    </w:p>
    <w:p>
      <w:pPr>
        <w:widowControl/>
        <w:numPr>
          <w:ilvl w:val="0"/>
          <w:numId w:val="13"/>
        </w:numPr>
        <w:spacing w:after="30" w:line="240" w:lineRule="auto"/>
      </w:pPr>
      <w:r>
        <w:rPr>
          <w:rFonts w:ascii="Calibri" w:hAnsi="Calibri"/>
          <w:b w:val="0"/>
          <w:sz w:val="19"/>
        </w:rPr>
        <w:t>records showing the capacity in which every member, trustee, or manager act is taken.</w:t>
      </w:r>
    </w:p>
    <w:p>
      <w:pPr>
        <w:keepLines w:val="0"/>
        <w:widowControl/>
      </w:pPr>
      <w:r>
        <w:rPr>
          <w:rFonts w:ascii="Calibri" w:hAnsi="Calibri"/>
          <w:b w:val="0"/>
          <w:sz w:val="20"/>
        </w:rPr>
        <w:t>Reserved matters should include equity, member admission, amendment of protected provisions, merger, dissolution, substantially all assets, core-IP transfer, material debt or guaranty, related-party transactions, material tax elections, and changes to bank, payment, domain, repository, or signing-key control.</w:t>
      </w:r>
    </w:p>
    <w:p>
      <w:pPr>
        <w:keepLines w:val="0"/>
        <w:widowControl/>
      </w:pPr>
      <w:r>
        <w:rPr>
          <w:rFonts w:ascii="Calibri" w:hAnsi="Calibri"/>
          <w:b w:val="0"/>
          <w:sz w:val="20"/>
        </w:rPr>
        <w:t>Liam may receive broad authority for product work, routine vendors, support, releases, and security response within an approved budget and platform role. He may not use another person's credentials or sign an adult-only, member, manager, bank, KYC, equity, debt, settlement, tax, or core-IP act. Titles must not imply membership.</w:t>
      </w:r>
    </w:p>
    <w:p>
      <w:pPr>
        <w:keepLines w:val="0"/>
        <w:widowControl/>
      </w:pPr>
      <w:r>
        <w:rPr>
          <w:rFonts w:ascii="Calibri" w:hAnsi="Calibri"/>
          <w:b w:val="0"/>
          <w:sz w:val="20"/>
        </w:rPr>
        <w:t>The company should maintain the amended articles, operating agreement, trust certification, assignment, member and manager admissions, ledgers, authority matrix, succession documents, and escrow instructions. Third parties should receive a limited trust certification where sufficient, not the full private instrument.</w:t>
      </w:r>
    </w:p>
    <w:p>
      <w:pPr>
        <w:keepLines w:val="0"/>
        <w:widowControl/>
      </w:pPr>
      <w:r>
        <w:rPr>
          <w:rFonts w:ascii="Calibri" w:hAnsi="Calibri"/>
          <w:b w:val="0"/>
          <w:sz w:val="20"/>
        </w:rPr>
        <w:t>Trustee succession and LLC admission should be separate steps even when they occur in one closing. On a transition, legal title passes to the accepted successor trustee under the trust documents; the successor also must deliver written consent to LLC membership and the operating agreement, satisfy the advance admission conditions, and be entered on the member ledger. The change should be described as no change in beneficiary or percentage, not as no change in legal owner. Likewise, successor-manager acceptance requires its own document. A person may accept one office and decline the other, in which case the professional fallback fills only the vacant office.</w:t>
      </w:r>
    </w:p>
    <w:p>
      <w:pPr>
        <w:pStyle w:val="Heading1"/>
        <w:pageBreakBefore w:val="0"/>
      </w:pPr>
      <w:r>
        <w:rPr>
          <w:rFonts w:ascii="Calibri" w:hAnsi="Calibri"/>
          <w:b/>
        </w:rPr>
        <w:t>6. Fixed handoff and adult-consent fallback</w:t>
      </w:r>
    </w:p>
    <w:p>
      <w:pPr>
        <w:pStyle w:val="Heading2"/>
        <w:pageBreakBefore w:val="0"/>
      </w:pPr>
      <w:r>
        <w:rPr>
          <w:rFonts w:ascii="Calibri" w:hAnsi="Calibri"/>
          <w:b/>
        </w:rPr>
        <w:t>6.1 Intended closing</w:t>
      </w:r>
    </w:p>
    <w:p>
      <w:pPr>
        <w:keepLines w:val="0"/>
        <w:widowControl/>
      </w:pPr>
      <w:r>
        <w:rPr>
          <w:rFonts w:ascii="Calibri" w:hAnsi="Calibri"/>
          <w:b w:val="0"/>
          <w:sz w:val="20"/>
        </w:rPr>
        <w:t>At 12:01 a.m. Eastern Time on August 19, 2027, if Liam is living and has delivered a valid adult joinder:</w:t>
      </w:r>
    </w:p>
    <w:p>
      <w:pPr>
        <w:widowControl/>
        <w:numPr>
          <w:ilvl w:val="0"/>
          <w:numId w:val="14"/>
        </w:numPr>
        <w:spacing w:after="30" w:line="240" w:lineRule="auto"/>
      </w:pPr>
      <w:r>
        <w:rPr>
          <w:rFonts w:ascii="Calibri" w:hAnsi="Calibri"/>
          <w:b w:val="0"/>
          <w:sz w:val="19"/>
        </w:rPr>
        <w:t>the trust distributes the entire LLC interest;</w:t>
      </w:r>
    </w:p>
    <w:p>
      <w:pPr>
        <w:widowControl/>
        <w:numPr>
          <w:ilvl w:val="0"/>
          <w:numId w:val="14"/>
        </w:numPr>
        <w:spacing w:after="30" w:line="240" w:lineRule="auto"/>
      </w:pPr>
      <w:r>
        <w:rPr>
          <w:rFonts w:ascii="Calibri" w:hAnsi="Calibri"/>
          <w:b w:val="0"/>
          <w:sz w:val="19"/>
        </w:rPr>
        <w:t>Liam becomes direct economic owner and sole voting member;</w:t>
      </w:r>
    </w:p>
    <w:p>
      <w:pPr>
        <w:widowControl/>
        <w:numPr>
          <w:ilvl w:val="0"/>
          <w:numId w:val="14"/>
        </w:numPr>
        <w:spacing w:after="30" w:line="240" w:lineRule="auto"/>
      </w:pPr>
      <w:r>
        <w:rPr>
          <w:rFonts w:ascii="Calibri" w:hAnsi="Calibri"/>
          <w:b w:val="0"/>
          <w:sz w:val="19"/>
        </w:rPr>
        <w:t>the trustee leaves the member ledger;</w:t>
      </w:r>
    </w:p>
    <w:p>
      <w:pPr>
        <w:widowControl/>
        <w:numPr>
          <w:ilvl w:val="0"/>
          <w:numId w:val="14"/>
        </w:numPr>
        <w:spacing w:after="30" w:line="240" w:lineRule="auto"/>
      </w:pPr>
      <w:r>
        <w:rPr>
          <w:rFonts w:ascii="Calibri" w:hAnsi="Calibri"/>
          <w:b w:val="0"/>
          <w:sz w:val="19"/>
        </w:rPr>
        <w:t>Liam accepts the manager office; and</w:t>
      </w:r>
    </w:p>
    <w:p>
      <w:pPr>
        <w:widowControl/>
        <w:numPr>
          <w:ilvl w:val="0"/>
          <w:numId w:val="14"/>
        </w:numPr>
        <w:spacing w:after="30" w:line="240" w:lineRule="auto"/>
      </w:pPr>
      <w:r>
        <w:rPr>
          <w:rFonts w:ascii="Calibri" w:hAnsi="Calibri"/>
          <w:b w:val="0"/>
          <w:sz w:val="19"/>
        </w:rPr>
        <w:t>banking, tax, platform, domain, repository, key, and contract records enter a ministerial update process.</w:t>
      </w:r>
    </w:p>
    <w:p>
      <w:pPr>
        <w:keepLines w:val="0"/>
        <w:widowControl/>
      </w:pPr>
      <w:r>
        <w:rPr>
          <w:rFonts w:ascii="Calibri" w:hAnsi="Calibri"/>
          <w:b w:val="0"/>
          <w:sz w:val="20"/>
        </w:rPr>
        <w:t>Lakshmi, the trustee, the member, the manager, and the company should execute and deposit their irrevocable documents at the present closing. Liam deposits his adult consent only after counsel confirms majority. No later discretionary approval by Lakshmi, Vik Thadani, or another fiduciary should be required.</w:t>
      </w:r>
    </w:p>
    <w:p>
      <w:pPr>
        <w:pStyle w:val="Heading2"/>
        <w:pageBreakBefore w:val="0"/>
      </w:pPr>
      <w:r>
        <w:rPr>
          <w:rFonts w:ascii="Calibri" w:hAnsi="Calibri"/>
          <w:b/>
        </w:rPr>
        <w:t>6.2 Majority and statutory consent</w:t>
      </w:r>
    </w:p>
    <w:p>
      <w:pPr>
        <w:keepLines w:val="0"/>
        <w:widowControl/>
      </w:pPr>
      <w:r>
        <w:rPr>
          <w:rFonts w:ascii="Calibri" w:hAnsi="Calibri"/>
          <w:b w:val="0"/>
          <w:sz w:val="20"/>
        </w:rPr>
        <w:t>Georgia sets majority at 18. O.C.G.A. Section 39-1-1. Georgia precedent applies a day-before-birthday rule in some statutory contexts. In re A.P.S., 304 Ga. App. 193, 696 S.E.2d 483 (2010). Do not infer contractual capacity on August 18 from those cases alone. Unless counsel gives a written opinion supporting an earlier time, Liam should execute adult joinders no earlier than August 19, 2027, while the documents separately preserve the intended 12:01 a.m. economic trigger to the maximum lawful extent.</w:t>
      </w:r>
    </w:p>
    <w:p>
      <w:pPr>
        <w:keepLines w:val="0"/>
        <w:widowControl/>
      </w:pPr>
      <w:r>
        <w:rPr>
          <w:rFonts w:ascii="Calibri" w:hAnsi="Calibri"/>
          <w:b w:val="0"/>
          <w:sz w:val="20"/>
        </w:rPr>
        <w:t>An assignee cannot be admitted until consenting, and a minor's contract is generally voidable. O.C.G.A. Sections 14-11-505 and 13-3-20. Adult consent is substantive, not a ministerial defect that can be deemed satisfied.</w:t>
      </w:r>
    </w:p>
    <w:p>
      <w:pPr>
        <w:keepLines w:val="0"/>
        <w:widowControl/>
      </w:pPr>
      <w:r>
        <w:rPr>
          <w:rFonts w:ascii="Calibri" w:hAnsi="Calibri"/>
          <w:b w:val="0"/>
          <w:sz w:val="20"/>
        </w:rPr>
        <w:t>If Liam's valid adult joinder is not in escrow at the handoff, every independently effective economic-distribution step should occur, but Liam must not be deemed admitted or appointed manager. The trustee remains record member solely pending lawful admission, and the serving manager continues under a limited continuity mandate. Neither may redirect Liam's economics, issue equity, postpone a valid admission, or exercise broader discretion than preservation requires. Counsel should provide expedited-court and cure procedures.</w:t>
      </w:r>
    </w:p>
    <w:p>
      <w:pPr>
        <w:keepLines w:val="0"/>
        <w:widowControl/>
      </w:pPr>
      <w:r>
        <w:rPr>
          <w:rFonts w:ascii="Calibri" w:hAnsi="Calibri"/>
          <w:b w:val="0"/>
          <w:sz w:val="20"/>
        </w:rPr>
        <w:t>The closing package should contain the trust distribution and assignment, advance member consent, Liam's adult joinder, conditional admission, conditional manager transition, ledgers, bank and platform resolutions, tax instructions, and an evidence checklist. Assignment transfers economics; governance rights arise only on admission.</w:t>
      </w:r>
    </w:p>
    <w:p>
      <w:pPr>
        <w:keepLines w:val="0"/>
        <w:widowControl/>
      </w:pPr>
      <w:r>
        <w:rPr>
          <w:rFonts w:ascii="Calibri" w:hAnsi="Calibri"/>
          <w:b w:val="0"/>
          <w:sz w:val="20"/>
        </w:rPr>
        <w:t>The escrow should be staged. The present adult parties deposit irrevocable assignments, consents, manager actions, and company records after the trust closing. Liam receives independent advice and deposits his adult joinder during the counsel-confirmed majority window. The escrow holder verifies identity, signatures, document hashes, the continued existence of the LLC interest or any substitute property, and evidence that Liam is living. At release, the holder records the exact Eastern Time, documents released, resulting member and manager ledgers, property distributed, reserves retained, and each platform update submitted. A 60-to-90-day pre-closing review should confirm majority-date law, tax and valuation updates, successor availability, and recovery access for bank, domain, repository, email, password manager, cloud, and signing keys. Post-closing updates should be assigned to named owners and completed within fixed business-day deadlines.</w:t>
      </w:r>
    </w:p>
    <w:p>
      <w:pPr>
        <w:pStyle w:val="Heading1"/>
        <w:pageBreakBefore w:val="0"/>
      </w:pPr>
      <w:r>
        <w:rPr>
          <w:rFonts w:ascii="Calibri" w:hAnsi="Calibri"/>
          <w:b/>
        </w:rPr>
        <w:t>7. Death, incapacity, and succession</w:t>
      </w:r>
    </w:p>
    <w:p>
      <w:pPr>
        <w:keepLines w:val="0"/>
        <w:widowControl/>
      </w:pPr>
      <w:r>
        <w:rPr>
          <w:rFonts w:ascii="Calibri" w:hAnsi="Calibri"/>
          <w:b w:val="0"/>
          <w:sz w:val="20"/>
        </w:rPr>
        <w:t>Upon Lakshmi's death, incapacity, resignation, removal, or inability to serve, Vik Thadani becomes trustee only after written acceptance. He becomes LLC member in fiduciary capacity only after satisfying the preapproved admission conditions, including consent to the operating agreement and delivery of a trust certification. Legal title changes trustees; Liam's beneficial ownership and percentage do not change.</w:t>
      </w:r>
    </w:p>
    <w:p>
      <w:pPr>
        <w:keepLines w:val="0"/>
        <w:widowControl/>
      </w:pPr>
      <w:r>
        <w:rPr>
          <w:rFonts w:ascii="Calibri" w:hAnsi="Calibri"/>
          <w:b w:val="0"/>
          <w:sz w:val="20"/>
        </w:rPr>
        <w:t>Vik Thadani separately accepts the manager office. Acceptance of one office does not confer the other. A nominee has no emergency authority merely from designation; preservation authority begins only through a valid acceptance, temporary appointment, or court order.</w:t>
      </w:r>
    </w:p>
    <w:p>
      <w:pPr>
        <w:keepLines w:val="0"/>
        <w:widowControl/>
      </w:pPr>
      <w:r>
        <w:rPr>
          <w:rFonts w:ascii="Calibri" w:hAnsi="Calibri"/>
          <w:b w:val="0"/>
          <w:sz w:val="20"/>
        </w:rPr>
        <w:t>If Vik Thadani cannot serve, an independent professional fiduciary becomes trustee under an objective appointment mechanism, and a qualified professional or court-supervised person becomes manager. The fallback must preserve bank funds, payroll, customer support, repositories, domains, cloud services, signing keys, tax filings, and the fixed handoff without changing economics.</w:t>
      </w:r>
    </w:p>
    <w:p>
      <w:pPr>
        <w:keepLines w:val="0"/>
        <w:widowControl/>
      </w:pPr>
      <w:r>
        <w:rPr>
          <w:rFonts w:ascii="Calibri" w:hAnsi="Calibri"/>
          <w:b w:val="0"/>
          <w:sz w:val="20"/>
        </w:rPr>
        <w:t>Georgia default rules can end individual membership on death or adjudicated incompetence and create last-member dissolution risk. See O.C.G.A. Sections 14-11-506, 14-11-601.1, and 14-11-602. The definitive documents should override avoidable gaps and state that Caisson continues perpetually.</w:t>
      </w:r>
    </w:p>
    <w:p>
      <w:pPr>
        <w:pStyle w:val="Heading1"/>
        <w:pageBreakBefore w:val="0"/>
      </w:pPr>
      <w:r>
        <w:rPr>
          <w:rFonts w:ascii="Calibri" w:hAnsi="Calibri"/>
          <w:b/>
        </w:rPr>
        <w:t>8. KYC, banking, and platforms</w:t>
      </w:r>
    </w:p>
    <w:p>
      <w:pPr>
        <w:keepLines w:val="0"/>
        <w:widowControl/>
      </w:pPr>
      <w:r>
        <w:rPr>
          <w:rFonts w:ascii="Calibri" w:hAnsi="Calibri"/>
          <w:b w:val="0"/>
          <w:sz w:val="20"/>
        </w:rPr>
        <w:t>Because neither Mercury nor Paddle has been submitted, the records can be aligned before first disclosure. After closing, the expected framework, subject to live definitions, is:</w:t>
      </w:r>
    </w:p>
    <w:p>
      <w:pPr>
        <w:widowControl/>
        <w:numPr>
          <w:ilvl w:val="0"/>
          <w:numId w:val="15"/>
        </w:numPr>
        <w:spacing w:after="30" w:line="240" w:lineRule="auto"/>
      </w:pPr>
      <w:r>
        <w:rPr>
          <w:rFonts w:ascii="Calibri" w:hAnsi="Calibri"/>
          <w:b w:val="0"/>
          <w:sz w:val="19"/>
        </w:rPr>
        <w:t>legal record member: the serving trustee in fiduciary capacity;</w:t>
      </w:r>
    </w:p>
    <w:p>
      <w:pPr>
        <w:widowControl/>
        <w:numPr>
          <w:ilvl w:val="0"/>
          <w:numId w:val="15"/>
        </w:numPr>
        <w:spacing w:after="30" w:line="240" w:lineRule="auto"/>
      </w:pPr>
      <w:r>
        <w:rPr>
          <w:rFonts w:ascii="Calibri" w:hAnsi="Calibri"/>
          <w:b w:val="0"/>
          <w:sz w:val="19"/>
        </w:rPr>
        <w:t>vested beneficiary and economic owner: Liam, where a platform's beneficial-owner definition requires disclosure;</w:t>
      </w:r>
    </w:p>
    <w:p>
      <w:pPr>
        <w:widowControl/>
        <w:numPr>
          <w:ilvl w:val="0"/>
          <w:numId w:val="15"/>
        </w:numPr>
        <w:spacing w:after="30" w:line="240" w:lineRule="auto"/>
      </w:pPr>
      <w:r>
        <w:rPr>
          <w:rFonts w:ascii="Calibri" w:hAnsi="Calibri"/>
          <w:b w:val="0"/>
          <w:sz w:val="19"/>
        </w:rPr>
        <w:t>manager, adult applicant, and administrator: Lakshmi while serving;</w:t>
      </w:r>
    </w:p>
    <w:p>
      <w:pPr>
        <w:widowControl/>
        <w:numPr>
          <w:ilvl w:val="0"/>
          <w:numId w:val="15"/>
        </w:numPr>
        <w:spacing w:after="30" w:line="240" w:lineRule="auto"/>
      </w:pPr>
      <w:r>
        <w:rPr>
          <w:rFonts w:ascii="Calibri" w:hAnsi="Calibri"/>
          <w:b w:val="0"/>
          <w:sz w:val="19"/>
        </w:rPr>
        <w:t>minor operational user: Liam only through a separately approved role and login; and</w:t>
      </w:r>
    </w:p>
    <w:p>
      <w:pPr>
        <w:widowControl/>
        <w:numPr>
          <w:ilvl w:val="0"/>
          <w:numId w:val="15"/>
        </w:numPr>
        <w:spacing w:after="30" w:line="240" w:lineRule="auto"/>
      </w:pPr>
      <w:r>
        <w:rPr>
          <w:rFonts w:ascii="Calibri" w:hAnsi="Calibri"/>
          <w:b w:val="0"/>
          <w:sz w:val="19"/>
        </w:rPr>
        <w:t>successor: Vik Thadani only when a form requests contingent fiduciaries or his appointment becomes effective.</w:t>
      </w:r>
    </w:p>
    <w:p>
      <w:pPr>
        <w:keepLines w:val="0"/>
        <w:widowControl/>
      </w:pPr>
      <w:r>
        <w:rPr>
          <w:rFonts w:ascii="Calibri" w:hAnsi="Calibri"/>
          <w:b w:val="0"/>
          <w:sz w:val="20"/>
        </w:rPr>
        <w:t>Trust beneficiary, federal beneficial owner, platform beneficial owner, controller, and account administrator are not interchangeable labels. Counsel should quote each provider's live definitions in a short KYC memorandum. Domestic U.S. entities are currently exempt from federal CTA BOI reporting, but platform, bank, tax, and sanctions KYC still applies.</w:t>
      </w:r>
    </w:p>
    <w:p>
      <w:pPr>
        <w:keepLines w:val="0"/>
        <w:widowControl/>
      </w:pPr>
      <w:r>
        <w:rPr>
          <w:rFonts w:ascii="Calibri" w:hAnsi="Calibri"/>
          <w:b w:val="0"/>
          <w:sz w:val="20"/>
        </w:rPr>
        <w:t>Each person should use a separate approved login. Liam should never use Lakshmi's identity, signature, card, KYC account, or administrator credentials. The authority matrix should identify who may initiate, approve, sign, execute, view, and recover each account, plus spending limits and emergency access. A change in trustee, manager, direct member, beneficiary disclosure, address, or business activity should trigger a platform-specific notice review rather than an assumption that internal documents automatically update the provider.</w:t>
      </w:r>
    </w:p>
    <w:p>
      <w:pPr>
        <w:pStyle w:val="Heading1"/>
        <w:pageBreakBefore w:val="0"/>
      </w:pPr>
      <w:r>
        <w:rPr>
          <w:rFonts w:ascii="Calibri" w:hAnsi="Calibri"/>
          <w:b/>
        </w:rPr>
        <w:t>9. Intellectual property</w:t>
      </w:r>
    </w:p>
    <w:p>
      <w:pPr>
        <w:keepLines w:val="0"/>
        <w:widowControl/>
      </w:pPr>
      <w:r>
        <w:rPr>
          <w:rFonts w:ascii="Calibri" w:hAnsi="Calibri"/>
          <w:b w:val="0"/>
          <w:sz w:val="20"/>
        </w:rPr>
        <w:t xml:space="preserve">Liam is the principal known author, but other human contributors remain unconfirmed. The site, documentation, and legal pages are public. The live license page names 15 Apache-2.0 packages; the registry metadata exposes 16 including </w:t>
      </w:r>
      <w:r>
        <w:rPr>
          <w:rFonts w:ascii="Consolas" w:hAnsi="Consolas"/>
          <w:color w:val="1F4D78"/>
          <w:sz w:val="19"/>
        </w:rPr>
        <w:t>@caisson/analytics</w:t>
      </w:r>
      <w:r>
        <w:rPr>
          <w:rFonts w:ascii="Calibri" w:hAnsi="Calibri"/>
          <w:b w:val="0"/>
          <w:sz w:val="20"/>
        </w:rPr>
        <w:t>; checked GitHub and public npm channels did not provide downloadable source. Package notices still name GridWork Digital LLC, which Liam reports is stale. Counsel should review title and preserve the correcting commit and deployment without inventing a GridWork transfer. No complete existing-IP assignment was found. Public license grants already made by an authorized owner are not revoked by a later assignment.</w:t>
      </w:r>
    </w:p>
    <w:p>
      <w:pPr>
        <w:keepLines w:val="0"/>
        <w:widowControl/>
      </w:pPr>
      <w:r>
        <w:rPr>
          <w:rFonts w:ascii="Calibri" w:hAnsi="Calibri"/>
          <w:b w:val="0"/>
          <w:sz w:val="20"/>
        </w:rPr>
        <w:t xml:space="preserve">The separate IP instrument package should schedule code, docs, site copy, designs, domains, accounts, repositories, packages, release artifacts, and signing material; record every public URL, release date, license, notice, account owner, and represented copyright holder; map Wardfile, tessera, gridwork-core, and other predecessor repositories; distinguish ideas from copied material; map commit aliases, AI assistance, and any human contributor; assign Liam's transferable historical rights with minor-capacity protections; establish future-work confidentiality and assignment; and require an adult confirmation. The assignment must not imply that Caisson owned assets before title was transferred. Counsel should approve title and notice corrections before any actual public source release and require a keep-or-remove decision for </w:t>
      </w:r>
      <w:r>
        <w:rPr>
          <w:rFonts w:ascii="Consolas" w:hAnsi="Consolas"/>
          <w:color w:val="1F4D78"/>
          <w:sz w:val="19"/>
        </w:rPr>
        <w:t>analytics</w:t>
      </w:r>
      <w:r>
        <w:rPr>
          <w:rFonts w:ascii="Calibri" w:hAnsi="Calibri"/>
          <w:b w:val="0"/>
          <w:sz w:val="20"/>
        </w:rPr>
        <w:t>.</w:t>
      </w:r>
    </w:p>
    <w:p>
      <w:pPr>
        <w:pStyle w:val="Heading1"/>
        <w:pageBreakBefore w:val="0"/>
      </w:pPr>
      <w:r>
        <w:rPr>
          <w:rFonts w:ascii="Calibri" w:hAnsi="Calibri"/>
          <w:b/>
        </w:rPr>
        <w:t>10. Employment and payroll</w:t>
      </w:r>
    </w:p>
    <w:p>
      <w:pPr>
        <w:keepLines w:val="0"/>
        <w:widowControl/>
      </w:pPr>
      <w:r>
        <w:rPr>
          <w:rFonts w:ascii="Calibri" w:hAnsi="Calibri"/>
          <w:b w:val="0"/>
          <w:sz w:val="20"/>
        </w:rPr>
        <w:t>Liam should have a bona fide written role identifying duties, supervision, authority, tools, security obligations, time or task records, compensation, reimbursements, confidentiality, and future-IP ownership.</w:t>
      </w:r>
    </w:p>
    <w:p>
      <w:pPr>
        <w:keepLines w:val="0"/>
        <w:widowControl/>
      </w:pPr>
      <w:r>
        <w:rPr>
          <w:rFonts w:ascii="Calibri" w:hAnsi="Calibri"/>
          <w:b w:val="0"/>
          <w:sz w:val="20"/>
        </w:rPr>
        <w:t>Georgia guidance generally does not require a work permit after age 16 and states no general hour restriction for 16- and 17-year-olds, while hazardous-occupation rules remain. Counsel must verify federal and Georgia wage, youth-work, school, insurance, and platform rules. Trust ownership may alter federal parent-child employment-tax exceptions; the CPA must analyze the actual owner, tax classification, and employer. Wages, trust economics, reimbursements, and gifts remain separate.</w:t>
      </w:r>
    </w:p>
    <w:p>
      <w:pPr>
        <w:pStyle w:val="Heading1"/>
        <w:pageBreakBefore w:val="0"/>
      </w:pPr>
      <w:r>
        <w:rPr>
          <w:rFonts w:ascii="Calibri" w:hAnsi="Calibri"/>
          <w:b/>
        </w:rPr>
        <w:t>11. Funding, gift, and tax coordination</w:t>
      </w:r>
    </w:p>
    <w:p>
      <w:pPr>
        <w:pStyle w:val="Heading2"/>
        <w:pageBreakBefore w:val="0"/>
      </w:pPr>
      <w:r>
        <w:rPr>
          <w:rFonts w:ascii="Calibri" w:hAnsi="Calibri"/>
          <w:b/>
        </w:rPr>
        <w:t>11.1 Historical funding</w:t>
      </w:r>
    </w:p>
    <w:p>
      <w:pPr>
        <w:keepLines w:val="0"/>
        <w:widowControl/>
      </w:pPr>
      <w:r>
        <w:rPr>
          <w:rFonts w:ascii="Calibri" w:hAnsi="Calibri"/>
          <w:b w:val="0"/>
          <w:sz w:val="20"/>
        </w:rPr>
        <w:t>Startup activity from January through July 2026 was paid through a father-linked mixed-use Amex environment and a Current feed Liam describes as his. The Current source says "Shared Account" but does not expose the legal owner. Vik pays the Amex, provides about 200 dollars weekly, and has stated that he does not expect repayment; larger deposits are described as gifts or family support but require source-and-purpose confirmation. No blanket treatment is appropriate.</w:t>
      </w:r>
    </w:p>
    <w:p>
      <w:pPr>
        <w:keepLines w:val="0"/>
        <w:widowControl/>
      </w:pPr>
      <w:r>
        <w:rPr>
          <w:rFonts w:ascii="Calibri" w:hAnsi="Calibri"/>
          <w:b w:val="0"/>
          <w:sz w:val="20"/>
        </w:rPr>
        <w:t>The CPA should classify supported transactions individually as company expense, startup or organizational cost, asset, reimbursement, advance, gift, contribution path, personal expense, or unresolved. Counsel then prepares any note, waiver, reimbursement agreement, contribution record, or ratification. The blank capital schedule in the Northwest form should not be copied.</w:t>
      </w:r>
    </w:p>
    <w:p>
      <w:pPr>
        <w:keepLines w:val="0"/>
        <w:widowControl/>
      </w:pPr>
      <w:r>
        <w:rPr>
          <w:rFonts w:ascii="Calibri" w:hAnsi="Calibri"/>
          <w:b w:val="0"/>
          <w:sz w:val="20"/>
        </w:rPr>
        <w:t>Payment alone does not establish who owns a device, domain, subscription, account, or resulting intellectual property. The transaction schedule should identify payer, account holder, user, business purpose, present asset location, desired owner, and any transfer needed. Do not book Vik as a member, lender, capital contributor, or reimbursable creditor absent contrary transaction-specific evidence. The divorce and custody record should be reviewed only to the extent counsel finds it relevant to property, parental authority, gifts, or data-sharing consent.</w:t>
      </w:r>
    </w:p>
    <w:p>
      <w:pPr>
        <w:pStyle w:val="Heading2"/>
        <w:pageBreakBefore w:val="0"/>
      </w:pPr>
      <w:r>
        <w:rPr>
          <w:rFonts w:ascii="Calibri" w:hAnsi="Calibri"/>
          <w:b/>
        </w:rPr>
        <w:t>11.2 Trust transfer and tax posture</w:t>
      </w:r>
    </w:p>
    <w:p>
      <w:pPr>
        <w:keepLines w:val="0"/>
        <w:widowControl/>
      </w:pPr>
      <w:r>
        <w:rPr>
          <w:rFonts w:ascii="Calibri" w:hAnsi="Calibri"/>
          <w:b w:val="0"/>
          <w:sz w:val="20"/>
        </w:rPr>
        <w:t>Funding the trust is intended as a present transfer of valuable property. Counsel and the CPA should determine fair market value, appraisal support, retained dominion and powers, gift completion, annual-exclusion present-interest treatment, Form 709 and GST reporting, basis, estate inclusion, grantor or non-grantor status, income reporting, tax distributions, and who bears tax on retained company or trust income.</w:t>
      </w:r>
    </w:p>
    <w:p>
      <w:pPr>
        <w:keepLines w:val="0"/>
        <w:widowControl/>
      </w:pPr>
      <w:r>
        <w:rPr>
          <w:rFonts w:ascii="Calibri" w:hAnsi="Calibri"/>
          <w:b w:val="0"/>
          <w:sz w:val="20"/>
        </w:rPr>
        <w:t>Federal income-tax ownership is not decided by the label "economic owner." The pre-execution model should analyze Internal Revenue Code Sections 671 through 678, including Lakshmi's contingent reversion and trustee or distribution powers and whether Liam has any unilateral power sufficient for Section 678. It should model Lakshmi as possible grantor-owner, Liam as possible Section 678 owner, and the trust as a non-grantor taxpayer; identify Form 1041, Schedule C, estimated-tax, self-employment-tax, distribution, and Form 8615 consequences; and analyze the later trust distribution separately. A legitimate trust does not eliminate tax.</w:t>
      </w:r>
    </w:p>
    <w:p>
      <w:pPr>
        <w:keepLines w:val="0"/>
        <w:widowControl/>
      </w:pPr>
      <w:r>
        <w:rPr>
          <w:rFonts w:ascii="Calibri" w:hAnsi="Calibri"/>
          <w:b w:val="0"/>
          <w:sz w:val="20"/>
        </w:rPr>
        <w:t>No corporate or S corporation election was found. No S election should be filed pending written counsel and CPA advice. A trust-owned single-member LLC requires analysis of the federal deemed owner and reporting form. Any later S election requires confirmation that the trust is an eligible shareholder and that any QSST or ESBT election, payroll, basis, reasonable compensation, distributions, and Georgia consequences support it.</w:t>
      </w:r>
    </w:p>
    <w:p>
      <w:pPr>
        <w:pStyle w:val="Heading1"/>
        <w:pageBreakBefore w:val="0"/>
      </w:pPr>
      <w:r>
        <w:rPr>
          <w:rFonts w:ascii="Calibri" w:hAnsi="Calibri"/>
          <w:b/>
        </w:rPr>
        <w:t>12. Phase-two commercial review</w:t>
      </w:r>
    </w:p>
    <w:p>
      <w:pPr>
        <w:keepLines w:val="0"/>
        <w:widowControl/>
      </w:pPr>
      <w:r>
        <w:rPr>
          <w:rFonts w:ascii="Calibri" w:hAnsi="Calibri"/>
          <w:b w:val="0"/>
          <w:sz w:val="20"/>
        </w:rPr>
        <w:t>Before first sale, counsel should:</w:t>
      </w:r>
    </w:p>
    <w:p>
      <w:pPr>
        <w:widowControl/>
        <w:numPr>
          <w:ilvl w:val="0"/>
          <w:numId w:val="16"/>
        </w:numPr>
        <w:spacing w:after="30" w:line="240" w:lineRule="auto"/>
      </w:pPr>
      <w:r>
        <w:rPr>
          <w:rFonts w:ascii="Calibri" w:hAnsi="Calibri"/>
          <w:b w:val="0"/>
          <w:sz w:val="19"/>
        </w:rPr>
        <w:t>Align the EULA liability cap and payment language with Paddle's reseller and Merchant of Record structure.</w:t>
      </w:r>
    </w:p>
    <w:p>
      <w:pPr>
        <w:widowControl/>
        <w:numPr>
          <w:ilvl w:val="0"/>
          <w:numId w:val="16"/>
        </w:numPr>
        <w:spacing w:after="30" w:line="240" w:lineRule="auto"/>
      </w:pPr>
      <w:r>
        <w:rPr>
          <w:rFonts w:ascii="Calibri" w:hAnsi="Calibri"/>
          <w:b w:val="0"/>
          <w:sz w:val="19"/>
        </w:rPr>
        <w:t>Route refunds through Paddle as required and decide whether Caisson retains its additional 14-day promise.</w:t>
      </w:r>
    </w:p>
    <w:p>
      <w:pPr>
        <w:widowControl/>
        <w:numPr>
          <w:ilvl w:val="0"/>
          <w:numId w:val="16"/>
        </w:numPr>
        <w:spacing w:after="30" w:line="240" w:lineRule="auto"/>
      </w:pPr>
      <w:r>
        <w:rPr>
          <w:rFonts w:ascii="Calibri" w:hAnsi="Calibri"/>
          <w:b w:val="0"/>
          <w:sz w:val="19"/>
        </w:rPr>
        <w:t>Match privacy disclosures to actual site, docs, analytics, telemetry, support, hosting, email, AI, and retention flows.</w:t>
      </w:r>
    </w:p>
    <w:p>
      <w:pPr>
        <w:widowControl/>
        <w:numPr>
          <w:ilvl w:val="0"/>
          <w:numId w:val="16"/>
        </w:numPr>
        <w:spacing w:after="30" w:line="240" w:lineRule="auto"/>
      </w:pPr>
      <w:r>
        <w:rPr>
          <w:rFonts w:ascii="Calibri" w:hAnsi="Calibri"/>
          <w:b w:val="0"/>
          <w:sz w:val="19"/>
        </w:rPr>
        <w:t>Preserve Apache-2.0 rights and map every open and commercial artifact.</w:t>
      </w:r>
    </w:p>
    <w:p>
      <w:pPr>
        <w:widowControl/>
        <w:numPr>
          <w:ilvl w:val="0"/>
          <w:numId w:val="16"/>
        </w:numPr>
        <w:spacing w:after="30" w:line="240" w:lineRule="auto"/>
      </w:pPr>
      <w:r>
        <w:rPr>
          <w:rFonts w:ascii="Calibri" w:hAnsi="Calibri"/>
          <w:b w:val="0"/>
          <w:sz w:val="19"/>
        </w:rPr>
        <w:t>Align customer continuity, assignment, source, and signing-key terms with the trust and OA.</w:t>
      </w:r>
    </w:p>
    <w:p>
      <w:pPr>
        <w:widowControl/>
        <w:numPr>
          <w:ilvl w:val="0"/>
          <w:numId w:val="16"/>
        </w:numPr>
        <w:spacing w:after="30" w:line="240" w:lineRule="auto"/>
      </w:pPr>
      <w:r>
        <w:rPr>
          <w:rFonts w:ascii="Calibri" w:hAnsi="Calibri"/>
          <w:b w:val="0"/>
          <w:sz w:val="19"/>
        </w:rPr>
        <w:t>Validate product, IP, domain, and supplier-URL ownership before accepting Paddle warranties.</w:t>
      </w:r>
    </w:p>
    <w:p>
      <w:pPr>
        <w:widowControl/>
        <w:numPr>
          <w:ilvl w:val="0"/>
          <w:numId w:val="16"/>
        </w:numPr>
        <w:spacing w:after="30" w:line="240" w:lineRule="auto"/>
      </w:pPr>
      <w:r>
        <w:rPr>
          <w:rFonts w:ascii="Calibri" w:hAnsi="Calibri"/>
          <w:b w:val="0"/>
          <w:sz w:val="19"/>
        </w:rPr>
        <w:t>Choose B2B-only or consumer-capable checkout and align capacity, warranty, withdrawal, and regional terms.</w:t>
      </w:r>
    </w:p>
    <w:p>
      <w:pPr>
        <w:widowControl/>
        <w:numPr>
          <w:ilvl w:val="0"/>
          <w:numId w:val="16"/>
        </w:numPr>
        <w:spacing w:after="30" w:line="240" w:lineRule="auto"/>
      </w:pPr>
      <w:r>
        <w:rPr>
          <w:rFonts w:ascii="Calibri" w:hAnsi="Calibri"/>
          <w:b w:val="0"/>
          <w:sz w:val="19"/>
        </w:rPr>
        <w:t>Obtain bounded encryption export-control, sanctions, and trademark-clearance review.</w:t>
      </w:r>
    </w:p>
    <w:p>
      <w:pPr>
        <w:pStyle w:val="Heading1"/>
        <w:pageBreakBefore w:val="0"/>
      </w:pPr>
      <w:r>
        <w:rPr>
          <w:rFonts w:ascii="Calibri" w:hAnsi="Calibri"/>
          <w:b/>
        </w:rPr>
        <w:t>13. Instrument set and execution order</w:t>
      </w:r>
    </w:p>
    <w:p>
      <w:pPr>
        <w:keepLines w:val="0"/>
        <w:widowControl/>
      </w:pPr>
      <w:r>
        <w:rPr>
          <w:rFonts w:ascii="Calibri" w:hAnsi="Calibri"/>
          <w:b w:val="0"/>
          <w:sz w:val="20"/>
        </w:rPr>
        <w:t>Counsel should prepare:</w:t>
      </w:r>
    </w:p>
    <w:p>
      <w:pPr>
        <w:widowControl/>
        <w:numPr>
          <w:ilvl w:val="0"/>
          <w:numId w:val="17"/>
        </w:numPr>
        <w:spacing w:after="30" w:line="240" w:lineRule="auto"/>
      </w:pPr>
      <w:r>
        <w:rPr>
          <w:rFonts w:ascii="Calibri" w:hAnsi="Calibri"/>
          <w:b w:val="0"/>
          <w:sz w:val="19"/>
        </w:rPr>
        <w:t>Engagement and conflict confirmation.</w:t>
      </w:r>
    </w:p>
    <w:p>
      <w:pPr>
        <w:widowControl/>
        <w:numPr>
          <w:ilvl w:val="0"/>
          <w:numId w:val="17"/>
        </w:numPr>
        <w:spacing w:after="30" w:line="240" w:lineRule="auto"/>
      </w:pPr>
      <w:r>
        <w:rPr>
          <w:rFonts w:ascii="Calibri" w:hAnsi="Calibri"/>
          <w:b w:val="0"/>
          <w:sz w:val="19"/>
        </w:rPr>
        <w:t>Selective ratification and superseding member action.</w:t>
      </w:r>
    </w:p>
    <w:p>
      <w:pPr>
        <w:widowControl/>
        <w:numPr>
          <w:ilvl w:val="0"/>
          <w:numId w:val="17"/>
        </w:numPr>
        <w:spacing w:after="30" w:line="240" w:lineRule="auto"/>
      </w:pPr>
      <w:r>
        <w:rPr>
          <w:rFonts w:ascii="Calibri" w:hAnsi="Calibri"/>
          <w:b w:val="0"/>
          <w:sz w:val="19"/>
        </w:rPr>
        <w:t>Manager-managed articles amendment and definitive OA.</w:t>
      </w:r>
    </w:p>
    <w:p>
      <w:pPr>
        <w:widowControl/>
        <w:numPr>
          <w:ilvl w:val="0"/>
          <w:numId w:val="17"/>
        </w:numPr>
        <w:spacing w:after="30" w:line="240" w:lineRule="auto"/>
      </w:pPr>
      <w:r>
        <w:rPr>
          <w:rFonts w:ascii="Calibri" w:hAnsi="Calibri"/>
          <w:b w:val="0"/>
          <w:sz w:val="19"/>
        </w:rPr>
        <w:t>Irrevocable private trust.</w:t>
      </w:r>
    </w:p>
    <w:p>
      <w:pPr>
        <w:widowControl/>
        <w:numPr>
          <w:ilvl w:val="0"/>
          <w:numId w:val="17"/>
        </w:numPr>
        <w:spacing w:after="30" w:line="240" w:lineRule="auto"/>
      </w:pPr>
      <w:r>
        <w:rPr>
          <w:rFonts w:ascii="Calibri" w:hAnsi="Calibri"/>
          <w:b w:val="0"/>
          <w:sz w:val="19"/>
        </w:rPr>
        <w:t>Assignment to trustee, member consent, trustee admission, and ledger.</w:t>
      </w:r>
    </w:p>
    <w:p>
      <w:pPr>
        <w:widowControl/>
        <w:numPr>
          <w:ilvl w:val="0"/>
          <w:numId w:val="17"/>
        </w:numPr>
        <w:spacing w:after="30" w:line="240" w:lineRule="auto"/>
      </w:pPr>
      <w:r>
        <w:rPr>
          <w:rFonts w:ascii="Calibri" w:hAnsi="Calibri"/>
          <w:b w:val="0"/>
          <w:sz w:val="19"/>
        </w:rPr>
        <w:t>Manager appointment, authority matrix, and platform schedule.</w:t>
      </w:r>
    </w:p>
    <w:p>
      <w:pPr>
        <w:widowControl/>
        <w:numPr>
          <w:ilvl w:val="0"/>
          <w:numId w:val="17"/>
        </w:numPr>
        <w:spacing w:after="30" w:line="240" w:lineRule="auto"/>
      </w:pPr>
      <w:r>
        <w:rPr>
          <w:rFonts w:ascii="Calibri" w:hAnsi="Calibri"/>
          <w:b w:val="0"/>
          <w:sz w:val="19"/>
        </w:rPr>
        <w:t>Vik Thadani and professional successor trustee and manager documents.</w:t>
      </w:r>
    </w:p>
    <w:p>
      <w:pPr>
        <w:widowControl/>
        <w:numPr>
          <w:ilvl w:val="0"/>
          <w:numId w:val="17"/>
        </w:numPr>
        <w:spacing w:after="30" w:line="240" w:lineRule="auto"/>
      </w:pPr>
      <w:r>
        <w:rPr>
          <w:rFonts w:ascii="Calibri" w:hAnsi="Calibri"/>
          <w:b w:val="0"/>
          <w:sz w:val="19"/>
        </w:rPr>
        <w:t>Age-18 escrow, distribution, adult joinder, admission, manager, KYC, and tax package.</w:t>
      </w:r>
    </w:p>
    <w:p>
      <w:pPr>
        <w:widowControl/>
        <w:numPr>
          <w:ilvl w:val="0"/>
          <w:numId w:val="17"/>
        </w:numPr>
        <w:spacing w:after="30" w:line="240" w:lineRule="auto"/>
      </w:pPr>
      <w:r>
        <w:rPr>
          <w:rFonts w:ascii="Calibri" w:hAnsi="Calibri"/>
          <w:b w:val="0"/>
          <w:sz w:val="19"/>
        </w:rPr>
        <w:t>Existing-IP schedule and assignment plus employment, confidentiality, and future-work documents.</w:t>
      </w:r>
    </w:p>
    <w:p>
      <w:pPr>
        <w:widowControl/>
        <w:numPr>
          <w:ilvl w:val="0"/>
          <w:numId w:val="17"/>
        </w:numPr>
        <w:spacing w:after="30" w:line="240" w:lineRule="auto"/>
      </w:pPr>
      <w:r>
        <w:rPr>
          <w:rFonts w:ascii="Calibri" w:hAnsi="Calibri"/>
          <w:b w:val="0"/>
          <w:sz w:val="19"/>
        </w:rPr>
        <w:t>Ownership and KYC certification and CPA coordination memorandum.</w:t>
      </w:r>
    </w:p>
    <w:p>
      <w:pPr>
        <w:keepLines w:val="0"/>
        <w:widowControl/>
      </w:pPr>
      <w:r>
        <w:rPr>
          <w:rFonts w:ascii="Calibri" w:hAnsi="Calibri"/>
          <w:b w:val="0"/>
          <w:sz w:val="20"/>
        </w:rPr>
        <w:t>Execution order is: representation; factual blanks; pre-execution tax review; integrated drafting; trust and company closing; IP and employment closing; Mercury and Paddle submission; commercial review; then calendared August 2027 pre-trigger and closing work.</w:t>
      </w:r>
    </w:p>
    <w:p>
      <w:pPr>
        <w:keepLines w:val="0"/>
        <w:widowControl/>
      </w:pPr>
      <w:r>
        <w:rPr>
          <w:rFonts w:ascii="Calibri" w:hAnsi="Calibri"/>
          <w:b w:val="0"/>
          <w:sz w:val="20"/>
        </w:rPr>
        <w:t>The closing binder should contain a dated index, signer and capacity table, final PDFs and native documents, hashes or control numbers, trust and company ledgers, restricted tax and valuation advice, platform certifications, and future-trigger calendar. Counsel should identify every required witness, notary, consent, acceptance, filing, notice, and responsible person. No blank schedule should be incorporated by reference, and no document should be released for signature until cross-document names, dates, capacities, percentages, and effective times match.</w:t>
      </w:r>
    </w:p>
    <w:p>
      <w:pPr>
        <w:pStyle w:val="Heading1"/>
        <w:pageBreakBefore w:val="0"/>
      </w:pPr>
      <w:r>
        <w:rPr>
          <w:rFonts w:ascii="Calibri" w:hAnsi="Calibri"/>
          <w:b/>
        </w:rPr>
        <w:t>14. Eight counsel decisions</w:t>
      </w:r>
    </w:p>
    <w:p>
      <w:pPr>
        <w:widowControl/>
        <w:numPr>
          <w:ilvl w:val="0"/>
          <w:numId w:val="18"/>
        </w:numPr>
        <w:spacing w:after="30" w:line="240" w:lineRule="auto"/>
      </w:pPr>
      <w:r>
        <w:rPr>
          <w:rFonts w:ascii="Calibri" w:hAnsi="Calibri"/>
          <w:b/>
          <w:sz w:val="19"/>
        </w:rPr>
        <w:t>Representation:</w:t>
      </w:r>
      <w:r>
        <w:rPr>
          <w:rFonts w:ascii="Calibri" w:hAnsi="Calibri"/>
          <w:b w:val="0"/>
          <w:sz w:val="19"/>
        </w:rPr>
        <w:t xml:space="preserve"> Clients, conflicts, independent advice, and CPA communication protocol.</w:t>
      </w:r>
    </w:p>
    <w:p>
      <w:pPr>
        <w:widowControl/>
        <w:numPr>
          <w:ilvl w:val="0"/>
          <w:numId w:val="18"/>
        </w:numPr>
        <w:spacing w:after="30" w:line="240" w:lineRule="auto"/>
      </w:pPr>
      <w:r>
        <w:rPr>
          <w:rFonts w:ascii="Calibri" w:hAnsi="Calibri"/>
          <w:b/>
          <w:sz w:val="19"/>
        </w:rPr>
        <w:t>Trust and tax design:</w:t>
      </w:r>
      <w:r>
        <w:rPr>
          <w:rFonts w:ascii="Calibri" w:hAnsi="Calibri"/>
          <w:b w:val="0"/>
          <w:sz w:val="19"/>
        </w:rPr>
        <w:t xml:space="preserve"> Irrevocability, vested-subject-to-divestment language, retained powers, death shift, and acceptable gift, grantor, estate, and fiduciary consequences.</w:t>
      </w:r>
    </w:p>
    <w:p>
      <w:pPr>
        <w:widowControl/>
        <w:numPr>
          <w:ilvl w:val="0"/>
          <w:numId w:val="18"/>
        </w:numPr>
        <w:spacing w:after="30" w:line="240" w:lineRule="auto"/>
      </w:pPr>
      <w:r>
        <w:rPr>
          <w:rFonts w:ascii="Calibri" w:hAnsi="Calibri"/>
          <w:b/>
          <w:sz w:val="19"/>
        </w:rPr>
        <w:t>Formation cleanup:</w:t>
      </w:r>
      <w:r>
        <w:rPr>
          <w:rFonts w:ascii="Calibri" w:hAnsi="Calibri"/>
          <w:b w:val="0"/>
          <w:sz w:val="19"/>
        </w:rPr>
        <w:t xml:space="preserve"> Organizer-resolution effect, unsigned vendor form, selective ratification, express supersession, manager-managed articles, and definitive OA.</w:t>
      </w:r>
    </w:p>
    <w:p>
      <w:pPr>
        <w:widowControl/>
        <w:numPr>
          <w:ilvl w:val="0"/>
          <w:numId w:val="18"/>
        </w:numPr>
        <w:spacing w:after="30" w:line="240" w:lineRule="auto"/>
      </w:pPr>
      <w:r>
        <w:rPr>
          <w:rFonts w:ascii="Calibri" w:hAnsi="Calibri"/>
          <w:b/>
          <w:sz w:val="19"/>
        </w:rPr>
        <w:t>Present membership:</w:t>
      </w:r>
      <w:r>
        <w:rPr>
          <w:rFonts w:ascii="Calibri" w:hAnsi="Calibri"/>
          <w:b w:val="0"/>
          <w:sz w:val="19"/>
        </w:rPr>
        <w:t xml:space="preserve"> Assignment to trustee, current-member consent, trustee acceptance, substituted-member admission, successor admission, and ledger mechanics.</w:t>
      </w:r>
    </w:p>
    <w:p>
      <w:pPr>
        <w:widowControl/>
        <w:numPr>
          <w:ilvl w:val="0"/>
          <w:numId w:val="18"/>
        </w:numPr>
        <w:spacing w:after="30" w:line="240" w:lineRule="auto"/>
      </w:pPr>
      <w:r>
        <w:rPr>
          <w:rFonts w:ascii="Calibri" w:hAnsi="Calibri"/>
          <w:b/>
          <w:sz w:val="19"/>
        </w:rPr>
        <w:t>Fixed handoff:</w:t>
      </w:r>
      <w:r>
        <w:rPr>
          <w:rFonts w:ascii="Calibri" w:hAnsi="Calibri"/>
          <w:b w:val="0"/>
          <w:sz w:val="19"/>
        </w:rPr>
        <w:t xml:space="preserve"> Majority date, adult-consent timing, escrow, distribution, no-gap fallback, and full admission at 12:01 a.m. Eastern Time on August 19, 2027.</w:t>
      </w:r>
    </w:p>
    <w:p>
      <w:pPr>
        <w:widowControl/>
        <w:numPr>
          <w:ilvl w:val="0"/>
          <w:numId w:val="18"/>
        </w:numPr>
        <w:spacing w:after="30" w:line="240" w:lineRule="auto"/>
      </w:pPr>
      <w:r>
        <w:rPr>
          <w:rFonts w:ascii="Calibri" w:hAnsi="Calibri"/>
          <w:b/>
          <w:sz w:val="19"/>
        </w:rPr>
        <w:t>Succession and authority:</w:t>
      </w:r>
      <w:r>
        <w:rPr>
          <w:rFonts w:ascii="Calibri" w:hAnsi="Calibri"/>
          <w:b w:val="0"/>
          <w:sz w:val="19"/>
        </w:rPr>
        <w:t xml:space="preserve"> Lakshmi's and Vik Thadani's separate offices, incapacity triggers, professional and court fallback, reserved matters, and emergency authority.</w:t>
      </w:r>
    </w:p>
    <w:p>
      <w:pPr>
        <w:widowControl/>
        <w:numPr>
          <w:ilvl w:val="0"/>
          <w:numId w:val="18"/>
        </w:numPr>
        <w:spacing w:after="30" w:line="240" w:lineRule="auto"/>
      </w:pPr>
      <w:r>
        <w:rPr>
          <w:rFonts w:ascii="Calibri" w:hAnsi="Calibri"/>
          <w:b/>
          <w:sz w:val="19"/>
        </w:rPr>
        <w:t>Minor work and IP:</w:t>
      </w:r>
      <w:r>
        <w:rPr>
          <w:rFonts w:ascii="Calibri" w:hAnsi="Calibri"/>
          <w:b w:val="0"/>
          <w:sz w:val="19"/>
        </w:rPr>
        <w:t xml:space="preserve"> Employment or agency, delegated authority, historical-IP transfer, future-work ownership, and adult confirmation.</w:t>
      </w:r>
    </w:p>
    <w:p>
      <w:pPr>
        <w:widowControl/>
        <w:numPr>
          <w:ilvl w:val="0"/>
          <w:numId w:val="18"/>
        </w:numPr>
        <w:spacing w:after="30" w:line="240" w:lineRule="auto"/>
      </w:pPr>
      <w:r>
        <w:rPr>
          <w:rFonts w:ascii="Calibri" w:hAnsi="Calibri"/>
          <w:b/>
          <w:sz w:val="19"/>
        </w:rPr>
        <w:t>KYC and tax coordination:</w:t>
      </w:r>
      <w:r>
        <w:rPr>
          <w:rFonts w:ascii="Calibri" w:hAnsi="Calibri"/>
          <w:b w:val="0"/>
          <w:sz w:val="19"/>
        </w:rPr>
        <w:t xml:space="preserve"> Mercury and Paddle certification, CTA monitoring, historical-funding papering, payroll, valuation, and the S election hold.</w:t>
      </w:r>
    </w:p>
    <w:p>
      <w:pPr>
        <w:pStyle w:val="Heading1"/>
        <w:pageBreakBefore w:val="0"/>
      </w:pPr>
      <w:r>
        <w:rPr>
          <w:rFonts w:ascii="Calibri" w:hAnsi="Calibri"/>
          <w:b/>
        </w:rPr>
        <w:t>Appendix A - Compact unknowns</w:t>
      </w:r>
    </w:p>
    <w:p>
      <w:pPr>
        <w:keepLines w:val="0"/>
        <w:widowControl/>
      </w:pPr>
      <w:r>
        <w:rPr>
          <w:rFonts w:ascii="Calibri" w:hAnsi="Calibri"/>
          <w:b w:val="0"/>
          <w:sz w:val="20"/>
        </w:rPr>
        <w:t>These are the only intended client placeholders:</w:t>
      </w:r>
    </w:p>
    <w:p>
      <w:pPr>
        <w:widowControl/>
        <w:numPr>
          <w:ilvl w:val="0"/>
          <w:numId w:val="19"/>
        </w:numPr>
        <w:spacing w:after="30" w:line="240" w:lineRule="auto"/>
      </w:pPr>
      <w:r>
        <w:rPr>
          <w:rFonts w:ascii="Calibri" w:hAnsi="Calibri"/>
          <w:b w:val="0"/>
          <w:sz w:val="19"/>
        </w:rPr>
        <w:t>[TRUST NAME AND EXECUTION DATE]</w:t>
      </w:r>
    </w:p>
    <w:p>
      <w:pPr>
        <w:widowControl/>
        <w:numPr>
          <w:ilvl w:val="0"/>
          <w:numId w:val="19"/>
        </w:numPr>
        <w:spacing w:after="30" w:line="240" w:lineRule="auto"/>
      </w:pPr>
      <w:r>
        <w:rPr>
          <w:rFonts w:ascii="Calibri" w:hAnsi="Calibri"/>
          <w:b w:val="0"/>
          <w:sz w:val="19"/>
        </w:rPr>
        <w:t>[VIK THADANI NOTICE ADDRESS, EMAIL, PHONE, AND ADULT-CAPACITY CONFIRMATION]</w:t>
      </w:r>
    </w:p>
    <w:p>
      <w:pPr>
        <w:widowControl/>
        <w:numPr>
          <w:ilvl w:val="0"/>
          <w:numId w:val="19"/>
        </w:numPr>
        <w:spacing w:after="30" w:line="240" w:lineRule="auto"/>
      </w:pPr>
      <w:r>
        <w:rPr>
          <w:rFonts w:ascii="Calibri" w:hAnsi="Calibri"/>
          <w:b w:val="0"/>
          <w:sz w:val="19"/>
        </w:rPr>
        <w:t>[LAKSHMI AND LIAM PRIVATE NOTICE ADDRESSES AND CONTACT INFORMATION]</w:t>
      </w:r>
    </w:p>
    <w:p>
      <w:pPr>
        <w:widowControl/>
        <w:numPr>
          <w:ilvl w:val="0"/>
          <w:numId w:val="19"/>
        </w:numPr>
        <w:spacing w:after="30" w:line="240" w:lineRule="auto"/>
      </w:pPr>
      <w:r>
        <w:rPr>
          <w:rFonts w:ascii="Calibri" w:hAnsi="Calibri"/>
          <w:b w:val="0"/>
          <w:sz w:val="19"/>
        </w:rPr>
        <w:t>[COMPANY OPERATING ADDRESS, EMAIL, AND PHONE]</w:t>
      </w:r>
    </w:p>
    <w:p>
      <w:pPr>
        <w:widowControl/>
        <w:numPr>
          <w:ilvl w:val="0"/>
          <w:numId w:val="19"/>
        </w:numPr>
        <w:spacing w:after="30" w:line="240" w:lineRule="auto"/>
      </w:pPr>
      <w:r>
        <w:rPr>
          <w:rFonts w:ascii="Calibri" w:hAnsi="Calibri"/>
          <w:b w:val="0"/>
          <w:sz w:val="19"/>
        </w:rPr>
        <w:t>[PROFESSIONAL FIDUCIARY OR OBJECTIVE SELECTION METHOD]</w:t>
      </w:r>
    </w:p>
    <w:p>
      <w:pPr>
        <w:widowControl/>
        <w:numPr>
          <w:ilvl w:val="0"/>
          <w:numId w:val="19"/>
        </w:numPr>
        <w:spacing w:after="30" w:line="240" w:lineRule="auto"/>
      </w:pPr>
      <w:r>
        <w:rPr>
          <w:rFonts w:ascii="Calibri" w:hAnsi="Calibri"/>
          <w:b w:val="0"/>
          <w:sz w:val="19"/>
        </w:rPr>
        <w:t>[BACKUP BENEFICIAL DESTINATION IF LIAM DIES AFTER LAKSHMI OR DEATH ORDER IS UNCERTAIN]</w:t>
      </w:r>
    </w:p>
    <w:p>
      <w:pPr>
        <w:widowControl/>
        <w:numPr>
          <w:ilvl w:val="0"/>
          <w:numId w:val="19"/>
        </w:numPr>
        <w:spacing w:after="30" w:line="240" w:lineRule="auto"/>
      </w:pPr>
      <w:r>
        <w:rPr>
          <w:rFonts w:ascii="Calibri" w:hAnsi="Calibri"/>
          <w:b w:val="0"/>
          <w:sz w:val="19"/>
        </w:rPr>
        <w:t>[LIAM TITLE, DUTIES, START DATE, COMPENSATION, AND AUTHORITY THRESHOLDS]</w:t>
      </w:r>
    </w:p>
    <w:p>
      <w:pPr>
        <w:widowControl/>
        <w:numPr>
          <w:ilvl w:val="0"/>
          <w:numId w:val="19"/>
        </w:numPr>
        <w:spacing w:after="30" w:line="240" w:lineRule="auto"/>
      </w:pPr>
      <w:r>
        <w:rPr>
          <w:rFonts w:ascii="Calibri" w:hAnsi="Calibri"/>
          <w:b w:val="0"/>
          <w:sz w:val="19"/>
        </w:rPr>
        <w:t>[TRUSTEE AND MANAGER COMPENSATION]</w:t>
      </w:r>
    </w:p>
    <w:p>
      <w:pPr>
        <w:widowControl/>
        <w:numPr>
          <w:ilvl w:val="0"/>
          <w:numId w:val="19"/>
        </w:numPr>
        <w:spacing w:after="30" w:line="240" w:lineRule="auto"/>
      </w:pPr>
      <w:r>
        <w:rPr>
          <w:rFonts w:ascii="Calibri" w:hAnsi="Calibri"/>
          <w:b w:val="0"/>
          <w:sz w:val="19"/>
        </w:rPr>
        <w:t>[LAWYER AND CPA NAMES, FIRMS, CONTACTS, AND CLIENTS]</w:t>
      </w:r>
    </w:p>
    <w:p>
      <w:pPr>
        <w:widowControl/>
        <w:numPr>
          <w:ilvl w:val="0"/>
          <w:numId w:val="19"/>
        </w:numPr>
        <w:spacing w:after="30" w:line="240" w:lineRule="auto"/>
      </w:pPr>
      <w:r>
        <w:rPr>
          <w:rFonts w:ascii="Calibri" w:hAnsi="Calibri"/>
          <w:b w:val="0"/>
          <w:sz w:val="19"/>
        </w:rPr>
        <w:t>[CURRENT ACCOUNT LEGAL HOLDER; LIAM'S AMEX STATUS; NAME ON CARD ENDING 1399]</w:t>
      </w:r>
    </w:p>
    <w:p>
      <w:pPr>
        <w:widowControl/>
        <w:numPr>
          <w:ilvl w:val="0"/>
          <w:numId w:val="19"/>
        </w:numPr>
        <w:spacing w:after="30" w:line="240" w:lineRule="auto"/>
      </w:pPr>
      <w:r>
        <w:rPr>
          <w:rFonts w:ascii="Calibri" w:hAnsi="Calibri"/>
          <w:b w:val="0"/>
          <w:sz w:val="19"/>
        </w:rPr>
        <w:t>[USHA THADANI RELATIONSHIP AND PURPOSE OF HER TRANSFERS; SOURCES AND INTENT OF THE 600, 2,000, 3,000, AND OTHER NON-200-DOLLAR DEPOSITS]</w:t>
      </w:r>
    </w:p>
    <w:p>
      <w:pPr>
        <w:widowControl/>
        <w:numPr>
          <w:ilvl w:val="0"/>
          <w:numId w:val="19"/>
        </w:numPr>
        <w:spacing w:after="30" w:line="240" w:lineRule="auto"/>
      </w:pPr>
      <w:r>
        <w:rPr>
          <w:rFonts w:ascii="Calibri" w:hAnsi="Calibri"/>
          <w:b w:val="0"/>
          <w:sz w:val="19"/>
        </w:rPr>
        <w:t>[ANY HUMAN CONTRIBUTORS BEYOND LIAM; OWNERSHIP AND REUSE HISTORY FOR GRIDWORK, WARDFILE, TESSERA, GRIDWORK-CORE, AND OTHER PREDECESSORS]</w:t>
      </w:r>
    </w:p>
    <w:p>
      <w:pPr>
        <w:widowControl/>
        <w:numPr>
          <w:ilvl w:val="0"/>
          <w:numId w:val="19"/>
        </w:numPr>
        <w:spacing w:after="30" w:line="240" w:lineRule="auto"/>
      </w:pPr>
      <w:r>
        <w:rPr>
          <w:rFonts w:ascii="Calibri" w:hAnsi="Calibri"/>
          <w:b w:val="0"/>
          <w:sz w:val="19"/>
        </w:rPr>
        <w:t>[LIAM WORK CHRONOLOGY, HOURS, SUPERVISION, DEVICES, SCHOOL RESTRICTIONS, AND WHETHER ANY PAYMENT WAS INTENDED AS COMPENSATION]</w:t>
      </w:r>
    </w:p>
    <w:p>
      <w:pPr>
        <w:widowControl/>
        <w:numPr>
          <w:ilvl w:val="0"/>
          <w:numId w:val="19"/>
        </w:numPr>
        <w:spacing w:after="30" w:line="240" w:lineRule="auto"/>
      </w:pPr>
      <w:r>
        <w:rPr>
          <w:rFonts w:ascii="Calibri" w:hAnsi="Calibri"/>
          <w:b w:val="0"/>
          <w:sz w:val="19"/>
        </w:rPr>
        <w:t>[PUBLIC SITE, DOCS, REPOSITORY, REGISTRY, INTENDED 15-PACKAGE SET, ANALYTICS KEEP-OR-REMOVE DECISION, AND RELEASE-DATE SCHEDULE]</w:t>
      </w:r>
    </w:p>
    <w:p>
      <w:pPr>
        <w:widowControl/>
        <w:numPr>
          <w:ilvl w:val="0"/>
          <w:numId w:val="19"/>
        </w:numPr>
        <w:spacing w:after="30" w:line="240" w:lineRule="auto"/>
      </w:pPr>
      <w:r>
        <w:rPr>
          <w:rFonts w:ascii="Calibri" w:hAnsi="Calibri"/>
          <w:b w:val="0"/>
          <w:sz w:val="19"/>
        </w:rPr>
        <w:t>[LEGAL HOLDER, ADMINISTRATOR, PAYER, AND RECOVERY OWNER FOR GITHUB, DOMAINS, REGISTRY, CLOUD, EMAIL, DISCORD, AI, DEVICE, DESIGN, AND SUBSCRIPTION ACCOUNTS]</w:t>
      </w:r>
    </w:p>
    <w:p>
      <w:pPr>
        <w:widowControl/>
        <w:numPr>
          <w:ilvl w:val="0"/>
          <w:numId w:val="19"/>
        </w:numPr>
        <w:spacing w:after="30" w:line="240" w:lineRule="auto"/>
      </w:pPr>
      <w:r>
        <w:rPr>
          <w:rFonts w:ascii="Calibri" w:hAnsi="Calibri"/>
          <w:b w:val="0"/>
          <w:sz w:val="19"/>
        </w:rPr>
        <w:t>[RELEVANT DIVORCE, CUSTODY, OR PROPERTY RECORDS REQUESTED BY COUNSEL]</w:t>
      </w:r>
    </w:p>
    <w:p>
      <w:pPr>
        <w:widowControl/>
        <w:numPr>
          <w:ilvl w:val="0"/>
          <w:numId w:val="19"/>
        </w:numPr>
        <w:spacing w:after="30" w:line="240" w:lineRule="auto"/>
      </w:pPr>
      <w:r>
        <w:rPr>
          <w:rFonts w:ascii="Calibri" w:hAnsi="Calibri"/>
          <w:b w:val="0"/>
          <w:sz w:val="19"/>
        </w:rPr>
        <w:t>[INITIAL CAPITAL AMOUNT AND SOURCE]</w:t>
      </w:r>
    </w:p>
    <w:p>
      <w:pPr>
        <w:widowControl/>
        <w:numPr>
          <w:ilvl w:val="0"/>
          <w:numId w:val="19"/>
        </w:numPr>
        <w:spacing w:after="30" w:line="240" w:lineRule="auto"/>
      </w:pPr>
      <w:r>
        <w:rPr>
          <w:rFonts w:ascii="Calibri" w:hAnsi="Calibri"/>
          <w:b w:val="0"/>
          <w:sz w:val="19"/>
        </w:rPr>
        <w:t>[B2B OR CONSUMER SALES, INITIAL COUNTRIES AND SKUS, AND REFUND POSITION]</w:t>
      </w:r>
    </w:p>
    <w:p>
      <w:pPr>
        <w:pStyle w:val="Heading1"/>
        <w:pageBreakBefore w:val="0"/>
      </w:pPr>
      <w:r>
        <w:rPr>
          <w:rFonts w:ascii="Calibri" w:hAnsi="Calibri"/>
          <w:b/>
        </w:rPr>
        <w:t>Appendix B - Primary legal and first-party source register</w:t>
      </w:r>
    </w:p>
    <w:p>
      <w:pPr>
        <w:keepLines w:val="0"/>
        <w:widowControl/>
      </w:pPr>
      <w:r>
        <w:rPr>
          <w:rFonts w:ascii="Calibri" w:hAnsi="Calibri"/>
          <w:b w:val="0"/>
          <w:sz w:val="20"/>
        </w:rPr>
        <w:t>Sources were checked through July 11, 2026. Counsel should verify official current text and effective dates. Georgia Code section links below are public mirrors; the Secretary of State provides the official-code access path.</w:t>
      </w:r>
    </w:p>
    <w:p>
      <w:pPr>
        <w:pStyle w:val="Heading2"/>
        <w:pageBreakBefore w:val="0"/>
      </w:pPr>
      <w:r>
        <w:rPr>
          <w:rFonts w:ascii="Calibri" w:hAnsi="Calibri"/>
          <w:b/>
        </w:rPr>
        <w:t>Caisson first-party public record</w:t>
      </w:r>
    </w:p>
    <w:p>
      <w:pPr>
        <w:widowControl/>
        <w:numPr>
          <w:ilvl w:val="0"/>
          <w:numId w:val="20"/>
        </w:numPr>
        <w:spacing w:after="30" w:line="240" w:lineRule="auto"/>
      </w:pPr>
      <w:r>
        <w:rPr>
          <w:rFonts w:ascii="Calibri" w:hAnsi="Calibri"/>
          <w:b w:val="0"/>
          <w:sz w:val="19"/>
        </w:rPr>
        <w:t xml:space="preserve">Marketing site: </w:t>
      </w:r>
      <w:hyperlink r:id="rId11">
        <w:r>
          <w:rPr>
            <w:rFonts w:ascii="Calibri" w:hAnsi="Calibri"/>
            <w:color w:val="2E74B5"/>
            <w:u w:val="single"/>
            <w:sz w:val="19"/>
          </w:rPr>
          <w:t>https://caisson.sh/</w:t>
        </w:r>
      </w:hyperlink>
    </w:p>
    <w:p>
      <w:pPr>
        <w:widowControl/>
        <w:numPr>
          <w:ilvl w:val="0"/>
          <w:numId w:val="20"/>
        </w:numPr>
        <w:spacing w:after="30" w:line="240" w:lineRule="auto"/>
      </w:pPr>
      <w:r>
        <w:rPr>
          <w:rFonts w:ascii="Calibri" w:hAnsi="Calibri"/>
          <w:b w:val="0"/>
          <w:sz w:val="19"/>
        </w:rPr>
        <w:t xml:space="preserve">Documentation: </w:t>
      </w:r>
      <w:hyperlink r:id="rId12">
        <w:r>
          <w:rPr>
            <w:rFonts w:ascii="Calibri" w:hAnsi="Calibri"/>
            <w:color w:val="2E74B5"/>
            <w:u w:val="single"/>
            <w:sz w:val="19"/>
          </w:rPr>
          <w:t>https://caisson.sh/docs</w:t>
        </w:r>
      </w:hyperlink>
    </w:p>
    <w:p>
      <w:pPr>
        <w:widowControl/>
        <w:numPr>
          <w:ilvl w:val="0"/>
          <w:numId w:val="20"/>
        </w:numPr>
        <w:spacing w:after="30" w:line="240" w:lineRule="auto"/>
      </w:pPr>
      <w:r>
        <w:rPr>
          <w:rFonts w:ascii="Calibri" w:hAnsi="Calibri"/>
          <w:b w:val="0"/>
          <w:sz w:val="19"/>
        </w:rPr>
        <w:t xml:space="preserve">License page naming 15 Apache-2.0 packages: </w:t>
      </w:r>
      <w:hyperlink r:id="rId13">
        <w:r>
          <w:rPr>
            <w:rFonts w:ascii="Calibri" w:hAnsi="Calibri"/>
            <w:color w:val="2E74B5"/>
            <w:u w:val="single"/>
            <w:sz w:val="19"/>
          </w:rPr>
          <w:t>https://caisson.sh/legal/license</w:t>
        </w:r>
      </w:hyperlink>
    </w:p>
    <w:p>
      <w:pPr>
        <w:widowControl/>
        <w:numPr>
          <w:ilvl w:val="0"/>
          <w:numId w:val="20"/>
        </w:numPr>
        <w:spacing w:after="30" w:line="240" w:lineRule="auto"/>
      </w:pPr>
      <w:r>
        <w:rPr>
          <w:rFonts w:ascii="Calibri" w:hAnsi="Calibri"/>
          <w:b w:val="0"/>
          <w:sz w:val="19"/>
        </w:rPr>
        <w:t xml:space="preserve">Anonymous registry metadata exposing 16 modules: </w:t>
      </w:r>
      <w:hyperlink r:id="rId14">
        <w:r>
          <w:rPr>
            <w:rFonts w:ascii="Calibri" w:hAnsi="Calibri"/>
            <w:color w:val="2E74B5"/>
            <w:u w:val="single"/>
            <w:sz w:val="19"/>
          </w:rPr>
          <w:t>https://registry.caisson.sh/index.json</w:t>
        </w:r>
      </w:hyperlink>
    </w:p>
    <w:p>
      <w:pPr>
        <w:widowControl/>
        <w:numPr>
          <w:ilvl w:val="0"/>
          <w:numId w:val="20"/>
        </w:numPr>
        <w:spacing w:after="30" w:line="240" w:lineRule="auto"/>
      </w:pPr>
      <w:r>
        <w:rPr>
          <w:rFonts w:ascii="Calibri" w:hAnsi="Calibri"/>
          <w:b w:val="0"/>
          <w:sz w:val="19"/>
        </w:rPr>
        <w:t xml:space="preserve">Intended OSS mirror, 404 when checked: </w:t>
      </w:r>
      <w:hyperlink r:id="rId15">
        <w:r>
          <w:rPr>
            <w:rFonts w:ascii="Calibri" w:hAnsi="Calibri"/>
            <w:color w:val="2E74B5"/>
            <w:u w:val="single"/>
            <w:sz w:val="19"/>
          </w:rPr>
          <w:t>https://github.com/caisson-sh/caisson-oss</w:t>
        </w:r>
      </w:hyperlink>
    </w:p>
    <w:p>
      <w:pPr>
        <w:pStyle w:val="Heading2"/>
        <w:pageBreakBefore w:val="0"/>
      </w:pPr>
      <w:r>
        <w:rPr>
          <w:rFonts w:ascii="Calibri" w:hAnsi="Calibri"/>
          <w:b/>
        </w:rPr>
        <w:t>Georgia official access and 2026 currency</w:t>
      </w:r>
    </w:p>
    <w:p>
      <w:pPr>
        <w:widowControl/>
        <w:numPr>
          <w:ilvl w:val="0"/>
          <w:numId w:val="21"/>
        </w:numPr>
        <w:spacing w:after="30" w:line="240" w:lineRule="auto"/>
      </w:pPr>
      <w:r>
        <w:rPr>
          <w:rFonts w:ascii="Calibri" w:hAnsi="Calibri"/>
          <w:b w:val="0"/>
          <w:sz w:val="19"/>
        </w:rPr>
        <w:t xml:space="preserve">Official Code access: </w:t>
      </w:r>
      <w:hyperlink r:id="rId16">
        <w:r>
          <w:rPr>
            <w:rFonts w:ascii="Calibri" w:hAnsi="Calibri"/>
            <w:color w:val="2E74B5"/>
            <w:u w:val="single"/>
            <w:sz w:val="19"/>
          </w:rPr>
          <w:t>https://sos.ga.gov/page/joint-secretary-general-provisions-and-proposed-rules</w:t>
        </w:r>
      </w:hyperlink>
    </w:p>
    <w:p>
      <w:pPr>
        <w:widowControl/>
        <w:numPr>
          <w:ilvl w:val="0"/>
          <w:numId w:val="21"/>
        </w:numPr>
        <w:spacing w:after="30" w:line="240" w:lineRule="auto"/>
      </w:pPr>
      <w:r>
        <w:rPr>
          <w:rFonts w:ascii="Calibri" w:hAnsi="Calibri"/>
          <w:b w:val="0"/>
          <w:sz w:val="19"/>
        </w:rPr>
        <w:t xml:space="preserve">Georgia annual registration: </w:t>
      </w:r>
      <w:hyperlink r:id="rId17">
        <w:r>
          <w:rPr>
            <w:rFonts w:ascii="Calibri" w:hAnsi="Calibri"/>
            <w:color w:val="2E74B5"/>
            <w:u w:val="single"/>
            <w:sz w:val="19"/>
          </w:rPr>
          <w:t>https://sos.ga.gov/how-to-guide/how-file-annual-registration</w:t>
        </w:r>
      </w:hyperlink>
    </w:p>
    <w:p>
      <w:pPr>
        <w:widowControl/>
        <w:numPr>
          <w:ilvl w:val="0"/>
          <w:numId w:val="21"/>
        </w:numPr>
        <w:spacing w:after="30" w:line="240" w:lineRule="auto"/>
      </w:pPr>
      <w:r>
        <w:rPr>
          <w:rFonts w:ascii="Calibri" w:hAnsi="Calibri"/>
          <w:b w:val="0"/>
          <w:sz w:val="19"/>
        </w:rPr>
        <w:t xml:space="preserve">Operating agreements not filed, Rule 590-7-21: </w:t>
      </w:r>
      <w:hyperlink r:id="rId18">
        <w:r>
          <w:rPr>
            <w:rFonts w:ascii="Calibri" w:hAnsi="Calibri"/>
            <w:color w:val="2E74B5"/>
            <w:u w:val="single"/>
            <w:sz w:val="19"/>
          </w:rPr>
          <w:t>https://rules.sos.ga.gov/gac/590-7-21</w:t>
        </w:r>
      </w:hyperlink>
    </w:p>
    <w:p>
      <w:pPr>
        <w:widowControl/>
        <w:numPr>
          <w:ilvl w:val="0"/>
          <w:numId w:val="21"/>
        </w:numPr>
        <w:spacing w:after="30" w:line="240" w:lineRule="auto"/>
      </w:pPr>
      <w:r>
        <w:rPr>
          <w:rFonts w:ascii="Calibri" w:hAnsi="Calibri"/>
          <w:b w:val="0"/>
          <w:sz w:val="19"/>
        </w:rPr>
        <w:t xml:space="preserve">2026 enacted-legislation summary: </w:t>
      </w:r>
      <w:hyperlink r:id="rId19">
        <w:r>
          <w:rPr>
            <w:rFonts w:ascii="Calibri" w:hAnsi="Calibri"/>
            <w:color w:val="2E74B5"/>
            <w:u w:val="single"/>
            <w:sz w:val="19"/>
          </w:rPr>
          <w:t>https://www.legis.ga.gov/api/document/docs/default-source/legislative-counsel-document-library/sumdoc2026-edit.pdf?sfvrsn=6257533e_2</w:t>
        </w:r>
      </w:hyperlink>
    </w:p>
    <w:p>
      <w:pPr>
        <w:widowControl/>
        <w:numPr>
          <w:ilvl w:val="0"/>
          <w:numId w:val="21"/>
        </w:numPr>
        <w:spacing w:after="30" w:line="240" w:lineRule="auto"/>
      </w:pPr>
      <w:r>
        <w:rPr>
          <w:rFonts w:ascii="Calibri" w:hAnsi="Calibri"/>
          <w:b w:val="0"/>
          <w:sz w:val="19"/>
        </w:rPr>
        <w:t xml:space="preserve">Signed HB 1185: </w:t>
      </w:r>
      <w:hyperlink r:id="rId20">
        <w:r>
          <w:rPr>
            <w:rFonts w:ascii="Calibri" w:hAnsi="Calibri"/>
            <w:color w:val="2E74B5"/>
            <w:u w:val="single"/>
            <w:sz w:val="19"/>
          </w:rPr>
          <w:t>https://gov.georgia.gov/document/2026-signed-legislation/hb-1185/download</w:t>
        </w:r>
      </w:hyperlink>
    </w:p>
    <w:p>
      <w:pPr>
        <w:pStyle w:val="Heading2"/>
        <w:pageBreakBefore w:val="0"/>
      </w:pPr>
      <w:r>
        <w:rPr>
          <w:rFonts w:ascii="Calibri" w:hAnsi="Calibri"/>
          <w:b/>
        </w:rPr>
        <w:t>Georgia LLC law</w:t>
      </w:r>
    </w:p>
    <w:p>
      <w:pPr>
        <w:widowControl/>
        <w:numPr>
          <w:ilvl w:val="0"/>
          <w:numId w:val="22"/>
        </w:numPr>
        <w:spacing w:after="30" w:line="240" w:lineRule="auto"/>
      </w:pPr>
      <w:r>
        <w:rPr>
          <w:rFonts w:ascii="Calibri" w:hAnsi="Calibri"/>
          <w:b w:val="0"/>
          <w:sz w:val="19"/>
        </w:rPr>
        <w:t xml:space="preserve">O.C.G.A. Section 14-11-101, operating agreement: </w:t>
      </w:r>
      <w:hyperlink r:id="rId21">
        <w:r>
          <w:rPr>
            <w:rFonts w:ascii="Calibri" w:hAnsi="Calibri"/>
            <w:color w:val="2E74B5"/>
            <w:u w:val="single"/>
            <w:sz w:val="19"/>
          </w:rPr>
          <w:t>https://law.justia.com/codes/georgia/title-14/chapter-11/article-1/section-14-11-101/</w:t>
        </w:r>
      </w:hyperlink>
    </w:p>
    <w:p>
      <w:pPr>
        <w:widowControl/>
        <w:numPr>
          <w:ilvl w:val="0"/>
          <w:numId w:val="22"/>
        </w:numPr>
        <w:spacing w:after="30" w:line="240" w:lineRule="auto"/>
      </w:pPr>
      <w:r>
        <w:rPr>
          <w:rFonts w:ascii="Calibri" w:hAnsi="Calibri"/>
          <w:b w:val="0"/>
          <w:sz w:val="19"/>
        </w:rPr>
        <w:t xml:space="preserve">Section 14-11-203, formation and organizer: </w:t>
      </w:r>
      <w:hyperlink r:id="rId22">
        <w:r>
          <w:rPr>
            <w:rFonts w:ascii="Calibri" w:hAnsi="Calibri"/>
            <w:color w:val="2E74B5"/>
            <w:u w:val="single"/>
            <w:sz w:val="19"/>
          </w:rPr>
          <w:t>https://law.justia.com/codes/georgia/title-14/chapter-11/article-2/section-14-11-203/</w:t>
        </w:r>
      </w:hyperlink>
    </w:p>
    <w:p>
      <w:pPr>
        <w:widowControl/>
        <w:numPr>
          <w:ilvl w:val="0"/>
          <w:numId w:val="22"/>
        </w:numPr>
        <w:spacing w:after="30" w:line="240" w:lineRule="auto"/>
      </w:pPr>
      <w:r>
        <w:rPr>
          <w:rFonts w:ascii="Calibri" w:hAnsi="Calibri"/>
          <w:b w:val="0"/>
          <w:sz w:val="19"/>
        </w:rPr>
        <w:t xml:space="preserve">Section 14-11-301, agency: </w:t>
      </w:r>
      <w:hyperlink r:id="rId23">
        <w:r>
          <w:rPr>
            <w:rFonts w:ascii="Calibri" w:hAnsi="Calibri"/>
            <w:color w:val="2E74B5"/>
            <w:u w:val="single"/>
            <w:sz w:val="19"/>
          </w:rPr>
          <w:t>https://law.justia.com/codes/georgia/title-14/chapter-11/article-3/section-14-11-301/</w:t>
        </w:r>
      </w:hyperlink>
    </w:p>
    <w:p>
      <w:pPr>
        <w:widowControl/>
        <w:numPr>
          <w:ilvl w:val="0"/>
          <w:numId w:val="22"/>
        </w:numPr>
        <w:spacing w:after="30" w:line="240" w:lineRule="auto"/>
      </w:pPr>
      <w:r>
        <w:rPr>
          <w:rFonts w:ascii="Calibri" w:hAnsi="Calibri"/>
          <w:b w:val="0"/>
          <w:sz w:val="19"/>
        </w:rPr>
        <w:t xml:space="preserve">Section 14-11-304, manager management: </w:t>
      </w:r>
      <w:hyperlink r:id="rId24">
        <w:r>
          <w:rPr>
            <w:rFonts w:ascii="Calibri" w:hAnsi="Calibri"/>
            <w:color w:val="2E74B5"/>
            <w:u w:val="single"/>
            <w:sz w:val="19"/>
          </w:rPr>
          <w:t>https://law.justia.com/codes/georgia/title-14/chapter-11/article-3/section-14-11-304/</w:t>
        </w:r>
      </w:hyperlink>
    </w:p>
    <w:p>
      <w:pPr>
        <w:widowControl/>
        <w:numPr>
          <w:ilvl w:val="0"/>
          <w:numId w:val="22"/>
        </w:numPr>
        <w:spacing w:after="30" w:line="240" w:lineRule="auto"/>
      </w:pPr>
      <w:r>
        <w:rPr>
          <w:rFonts w:ascii="Calibri" w:hAnsi="Calibri"/>
          <w:b w:val="0"/>
          <w:sz w:val="19"/>
        </w:rPr>
        <w:t xml:space="preserve">Section 14-11-308, approvals and admissions: </w:t>
      </w:r>
      <w:hyperlink r:id="rId25">
        <w:r>
          <w:rPr>
            <w:rFonts w:ascii="Calibri" w:hAnsi="Calibri"/>
            <w:color w:val="2E74B5"/>
            <w:u w:val="single"/>
            <w:sz w:val="19"/>
          </w:rPr>
          <w:t>https://law.justia.com/codes/georgia/title-14/chapter-11/article-3/section-14-11-308/</w:t>
        </w:r>
      </w:hyperlink>
    </w:p>
    <w:p>
      <w:pPr>
        <w:widowControl/>
        <w:numPr>
          <w:ilvl w:val="0"/>
          <w:numId w:val="22"/>
        </w:numPr>
        <w:spacing w:after="30" w:line="240" w:lineRule="auto"/>
      </w:pPr>
      <w:r>
        <w:rPr>
          <w:rFonts w:ascii="Calibri" w:hAnsi="Calibri"/>
          <w:b w:val="0"/>
          <w:sz w:val="19"/>
        </w:rPr>
        <w:t xml:space="preserve">Section 14-11-501, interest as personal property: </w:t>
      </w:r>
      <w:hyperlink r:id="rId26">
        <w:r>
          <w:rPr>
            <w:rFonts w:ascii="Calibri" w:hAnsi="Calibri"/>
            <w:color w:val="2E74B5"/>
            <w:u w:val="single"/>
            <w:sz w:val="19"/>
          </w:rPr>
          <w:t>https://law.justia.com/codes/georgia/title-14/chapter-11/article-5/section-14-11-501/</w:t>
        </w:r>
      </w:hyperlink>
    </w:p>
    <w:p>
      <w:pPr>
        <w:widowControl/>
        <w:numPr>
          <w:ilvl w:val="0"/>
          <w:numId w:val="22"/>
        </w:numPr>
        <w:spacing w:after="30" w:line="240" w:lineRule="auto"/>
      </w:pPr>
      <w:r>
        <w:rPr>
          <w:rFonts w:ascii="Calibri" w:hAnsi="Calibri"/>
          <w:b w:val="0"/>
          <w:sz w:val="19"/>
        </w:rPr>
        <w:t xml:space="preserve">Section 14-11-502, assignment: </w:t>
      </w:r>
      <w:hyperlink r:id="rId27">
        <w:r>
          <w:rPr>
            <w:rFonts w:ascii="Calibri" w:hAnsi="Calibri"/>
            <w:color w:val="2E74B5"/>
            <w:u w:val="single"/>
            <w:sz w:val="19"/>
          </w:rPr>
          <w:t>https://law.justia.com/codes/georgia/title-14/chapter-11/article-5/section-14-11-502/</w:t>
        </w:r>
      </w:hyperlink>
    </w:p>
    <w:p>
      <w:pPr>
        <w:widowControl/>
        <w:numPr>
          <w:ilvl w:val="0"/>
          <w:numId w:val="22"/>
        </w:numPr>
        <w:spacing w:after="30" w:line="240" w:lineRule="auto"/>
      </w:pPr>
      <w:r>
        <w:rPr>
          <w:rFonts w:ascii="Calibri" w:hAnsi="Calibri"/>
          <w:b w:val="0"/>
          <w:sz w:val="19"/>
        </w:rPr>
        <w:t xml:space="preserve">Section 14-11-503, assignee admission: </w:t>
      </w:r>
      <w:hyperlink r:id="rId28">
        <w:r>
          <w:rPr>
            <w:rFonts w:ascii="Calibri" w:hAnsi="Calibri"/>
            <w:color w:val="2E74B5"/>
            <w:u w:val="single"/>
            <w:sz w:val="19"/>
          </w:rPr>
          <w:t>https://law.justia.com/codes/georgia/title-14/chapter-11/article-5/section-14-11-503/</w:t>
        </w:r>
      </w:hyperlink>
    </w:p>
    <w:p>
      <w:pPr>
        <w:widowControl/>
        <w:numPr>
          <w:ilvl w:val="0"/>
          <w:numId w:val="22"/>
        </w:numPr>
        <w:spacing w:after="30" w:line="240" w:lineRule="auto"/>
      </w:pPr>
      <w:r>
        <w:rPr>
          <w:rFonts w:ascii="Calibri" w:hAnsi="Calibri"/>
          <w:b w:val="0"/>
          <w:sz w:val="19"/>
        </w:rPr>
        <w:t xml:space="preserve">Section 14-11-505, admission and consent: </w:t>
      </w:r>
      <w:hyperlink r:id="rId29">
        <w:r>
          <w:rPr>
            <w:rFonts w:ascii="Calibri" w:hAnsi="Calibri"/>
            <w:color w:val="2E74B5"/>
            <w:u w:val="single"/>
            <w:sz w:val="19"/>
          </w:rPr>
          <w:t>https://law.justia.com/codes/georgia/title-14/chapter-11/article-5/section-14-11-505/</w:t>
        </w:r>
      </w:hyperlink>
    </w:p>
    <w:p>
      <w:pPr>
        <w:widowControl/>
        <w:numPr>
          <w:ilvl w:val="0"/>
          <w:numId w:val="22"/>
        </w:numPr>
        <w:spacing w:after="30" w:line="240" w:lineRule="auto"/>
      </w:pPr>
      <w:r>
        <w:rPr>
          <w:rFonts w:ascii="Calibri" w:hAnsi="Calibri"/>
          <w:b w:val="0"/>
          <w:sz w:val="19"/>
        </w:rPr>
        <w:t xml:space="preserve">Section 14-11-506, legal representative: </w:t>
      </w:r>
      <w:hyperlink r:id="rId30">
        <w:r>
          <w:rPr>
            <w:rFonts w:ascii="Calibri" w:hAnsi="Calibri"/>
            <w:color w:val="2E74B5"/>
            <w:u w:val="single"/>
            <w:sz w:val="19"/>
          </w:rPr>
          <w:t>https://law.justia.com/codes/georgia/title-14/chapter-11/article-5/section-14-11-506/</w:t>
        </w:r>
      </w:hyperlink>
    </w:p>
    <w:p>
      <w:pPr>
        <w:widowControl/>
        <w:numPr>
          <w:ilvl w:val="0"/>
          <w:numId w:val="22"/>
        </w:numPr>
        <w:spacing w:after="30" w:line="240" w:lineRule="auto"/>
      </w:pPr>
      <w:r>
        <w:rPr>
          <w:rFonts w:ascii="Calibri" w:hAnsi="Calibri"/>
          <w:b w:val="0"/>
          <w:sz w:val="19"/>
        </w:rPr>
        <w:t xml:space="preserve">Section 14-11-601.1, cessation: </w:t>
      </w:r>
      <w:hyperlink r:id="rId31">
        <w:r>
          <w:rPr>
            <w:rFonts w:ascii="Calibri" w:hAnsi="Calibri"/>
            <w:color w:val="2E74B5"/>
            <w:u w:val="single"/>
            <w:sz w:val="19"/>
          </w:rPr>
          <w:t>https://law.justia.com/codes/georgia/title-14/chapter-11/article-6/section-14-11-601-1/</w:t>
        </w:r>
      </w:hyperlink>
    </w:p>
    <w:p>
      <w:pPr>
        <w:widowControl/>
        <w:numPr>
          <w:ilvl w:val="0"/>
          <w:numId w:val="22"/>
        </w:numPr>
        <w:spacing w:after="30" w:line="240" w:lineRule="auto"/>
      </w:pPr>
      <w:r>
        <w:rPr>
          <w:rFonts w:ascii="Calibri" w:hAnsi="Calibri"/>
          <w:b w:val="0"/>
          <w:sz w:val="19"/>
        </w:rPr>
        <w:t xml:space="preserve">Section 14-11-602, dissolution: </w:t>
      </w:r>
      <w:hyperlink r:id="rId32">
        <w:r>
          <w:rPr>
            <w:rFonts w:ascii="Calibri" w:hAnsi="Calibri"/>
            <w:color w:val="2E74B5"/>
            <w:u w:val="single"/>
            <w:sz w:val="19"/>
          </w:rPr>
          <w:t>https://law.justia.com/codes/georgia/title-14/chapter-11/article-6/section-14-11-602/</w:t>
        </w:r>
      </w:hyperlink>
    </w:p>
    <w:p>
      <w:pPr>
        <w:widowControl/>
        <w:numPr>
          <w:ilvl w:val="0"/>
          <w:numId w:val="22"/>
        </w:numPr>
        <w:spacing w:after="30" w:line="240" w:lineRule="auto"/>
      </w:pPr>
      <w:r>
        <w:rPr>
          <w:rFonts w:ascii="Calibri" w:hAnsi="Calibri"/>
          <w:b w:val="0"/>
          <w:sz w:val="19"/>
        </w:rPr>
        <w:t xml:space="preserve">Section 14-11-1107, freedom of contract: </w:t>
      </w:r>
      <w:hyperlink r:id="rId33">
        <w:r>
          <w:rPr>
            <w:rFonts w:ascii="Calibri" w:hAnsi="Calibri"/>
            <w:color w:val="2E74B5"/>
            <w:u w:val="single"/>
            <w:sz w:val="19"/>
          </w:rPr>
          <w:t>https://law.justia.com/codes/georgia/title-14/chapter-11/article-11/section-14-11-1107/</w:t>
        </w:r>
      </w:hyperlink>
    </w:p>
    <w:p>
      <w:pPr>
        <w:widowControl/>
        <w:numPr>
          <w:ilvl w:val="0"/>
          <w:numId w:val="22"/>
        </w:numPr>
        <w:spacing w:after="30" w:line="240" w:lineRule="auto"/>
      </w:pPr>
      <w:r>
        <w:rPr>
          <w:rFonts w:ascii="Calibri" w:hAnsi="Calibri"/>
          <w:b w:val="0"/>
          <w:sz w:val="19"/>
        </w:rPr>
        <w:t xml:space="preserve">Practice Benefits, LLC v. Entera Holdings, LLC: </w:t>
      </w:r>
      <w:hyperlink r:id="rId34">
        <w:r>
          <w:rPr>
            <w:rFonts w:ascii="Calibri" w:hAnsi="Calibri"/>
            <w:color w:val="2E74B5"/>
            <w:u w:val="single"/>
            <w:sz w:val="19"/>
          </w:rPr>
          <w:t>https://law.justia.com/cases/georgia/court-of-appeals/2017/a16a1946.html</w:t>
        </w:r>
      </w:hyperlink>
    </w:p>
    <w:p>
      <w:pPr>
        <w:widowControl/>
        <w:numPr>
          <w:ilvl w:val="0"/>
          <w:numId w:val="22"/>
        </w:numPr>
        <w:spacing w:after="30" w:line="240" w:lineRule="auto"/>
      </w:pPr>
      <w:r>
        <w:rPr>
          <w:rFonts w:ascii="Calibri" w:hAnsi="Calibri"/>
          <w:b w:val="0"/>
          <w:sz w:val="19"/>
        </w:rPr>
        <w:t xml:space="preserve">Hopson v. Bank of North Georgia: </w:t>
      </w:r>
      <w:hyperlink r:id="rId35">
        <w:r>
          <w:rPr>
            <w:rFonts w:ascii="Calibri" w:hAnsi="Calibri"/>
            <w:color w:val="2E74B5"/>
            <w:u w:val="single"/>
            <w:sz w:val="19"/>
          </w:rPr>
          <w:t>https://law.justia.com/cases/georgia/court-of-appeals/2002/a02a1843.html</w:t>
        </w:r>
      </w:hyperlink>
    </w:p>
    <w:p>
      <w:pPr>
        <w:pStyle w:val="Heading2"/>
        <w:pageBreakBefore w:val="0"/>
      </w:pPr>
      <w:r>
        <w:rPr>
          <w:rFonts w:ascii="Calibri" w:hAnsi="Calibri"/>
          <w:b/>
        </w:rPr>
        <w:t>Georgia trust, gift, capacity, and majority law</w:t>
      </w:r>
    </w:p>
    <w:p>
      <w:pPr>
        <w:widowControl/>
        <w:numPr>
          <w:ilvl w:val="0"/>
          <w:numId w:val="23"/>
        </w:numPr>
        <w:spacing w:after="30" w:line="240" w:lineRule="auto"/>
      </w:pPr>
      <w:r>
        <w:rPr>
          <w:rFonts w:ascii="Calibri" w:hAnsi="Calibri"/>
          <w:b w:val="0"/>
          <w:sz w:val="19"/>
        </w:rPr>
        <w:t xml:space="preserve">Section 53-12-20, express trust: </w:t>
      </w:r>
      <w:hyperlink r:id="rId36">
        <w:r>
          <w:rPr>
            <w:rFonts w:ascii="Calibri" w:hAnsi="Calibri"/>
            <w:color w:val="2E74B5"/>
            <w:u w:val="single"/>
            <w:sz w:val="19"/>
          </w:rPr>
          <w:t>https://law.justia.com/codes/georgia/title-53/chapter-12/article-2/section-53-12-20/</w:t>
        </w:r>
      </w:hyperlink>
    </w:p>
    <w:p>
      <w:pPr>
        <w:widowControl/>
        <w:numPr>
          <w:ilvl w:val="0"/>
          <w:numId w:val="23"/>
        </w:numPr>
        <w:spacing w:after="30" w:line="240" w:lineRule="auto"/>
      </w:pPr>
      <w:r>
        <w:rPr>
          <w:rFonts w:ascii="Calibri" w:hAnsi="Calibri"/>
          <w:b w:val="0"/>
          <w:sz w:val="19"/>
        </w:rPr>
        <w:t xml:space="preserve">Section 53-12-25, trustee title: </w:t>
      </w:r>
      <w:hyperlink r:id="rId37">
        <w:r>
          <w:rPr>
            <w:rFonts w:ascii="Calibri" w:hAnsi="Calibri"/>
            <w:color w:val="2E74B5"/>
            <w:u w:val="single"/>
            <w:sz w:val="19"/>
          </w:rPr>
          <w:t>https://law.justia.com/codes/georgia/title-53/chapter-12/article-2/section-53-12-25/</w:t>
        </w:r>
      </w:hyperlink>
    </w:p>
    <w:p>
      <w:pPr>
        <w:widowControl/>
        <w:numPr>
          <w:ilvl w:val="0"/>
          <w:numId w:val="23"/>
        </w:numPr>
        <w:spacing w:after="30" w:line="240" w:lineRule="auto"/>
      </w:pPr>
      <w:r>
        <w:rPr>
          <w:rFonts w:ascii="Calibri" w:hAnsi="Calibri"/>
          <w:b w:val="0"/>
          <w:sz w:val="19"/>
        </w:rPr>
        <w:t xml:space="preserve">Section 53-12-40, revocation or modification: </w:t>
      </w:r>
      <w:hyperlink r:id="rId38">
        <w:r>
          <w:rPr>
            <w:rFonts w:ascii="Calibri" w:hAnsi="Calibri"/>
            <w:color w:val="2E74B5"/>
            <w:u w:val="single"/>
            <w:sz w:val="19"/>
          </w:rPr>
          <w:t>https://law.justia.com/codes/georgia/title-53/chapter-12/article-3/section-53-12-40/</w:t>
        </w:r>
      </w:hyperlink>
    </w:p>
    <w:p>
      <w:pPr>
        <w:widowControl/>
        <w:numPr>
          <w:ilvl w:val="0"/>
          <w:numId w:val="23"/>
        </w:numPr>
        <w:spacing w:after="30" w:line="240" w:lineRule="auto"/>
      </w:pPr>
      <w:r>
        <w:rPr>
          <w:rFonts w:ascii="Calibri" w:hAnsi="Calibri"/>
          <w:b w:val="0"/>
          <w:sz w:val="19"/>
        </w:rPr>
        <w:t xml:space="preserve">Section 53-12-61, modification and termination: </w:t>
      </w:r>
      <w:hyperlink r:id="rId39">
        <w:r>
          <w:rPr>
            <w:rFonts w:ascii="Calibri" w:hAnsi="Calibri"/>
            <w:color w:val="2E74B5"/>
            <w:u w:val="single"/>
            <w:sz w:val="19"/>
          </w:rPr>
          <w:t>https://law.justia.com/codes/georgia/title-53/chapter-12/article-4/section-53-12-61/</w:t>
        </w:r>
      </w:hyperlink>
    </w:p>
    <w:p>
      <w:pPr>
        <w:widowControl/>
        <w:numPr>
          <w:ilvl w:val="0"/>
          <w:numId w:val="23"/>
        </w:numPr>
        <w:spacing w:after="30" w:line="240" w:lineRule="auto"/>
      </w:pPr>
      <w:r>
        <w:rPr>
          <w:rFonts w:ascii="Calibri" w:hAnsi="Calibri"/>
          <w:b w:val="0"/>
          <w:sz w:val="19"/>
        </w:rPr>
        <w:t xml:space="preserve">Section 53-12-240, good faith: </w:t>
      </w:r>
      <w:hyperlink r:id="rId40">
        <w:r>
          <w:rPr>
            <w:rFonts w:ascii="Calibri" w:hAnsi="Calibri"/>
            <w:color w:val="2E74B5"/>
            <w:u w:val="single"/>
            <w:sz w:val="19"/>
          </w:rPr>
          <w:t>https://law.justia.com/codes/georgia/title-53/chapter-12/article-13/part-1/section-53-12-240/</w:t>
        </w:r>
      </w:hyperlink>
    </w:p>
    <w:p>
      <w:pPr>
        <w:widowControl/>
        <w:numPr>
          <w:ilvl w:val="0"/>
          <w:numId w:val="23"/>
        </w:numPr>
        <w:spacing w:after="30" w:line="240" w:lineRule="auto"/>
      </w:pPr>
      <w:r>
        <w:rPr>
          <w:rFonts w:ascii="Calibri" w:hAnsi="Calibri"/>
          <w:b w:val="0"/>
          <w:sz w:val="19"/>
        </w:rPr>
        <w:t xml:space="preserve">Section 53-12-246, beneficiary loyalty: </w:t>
      </w:r>
      <w:hyperlink r:id="rId41">
        <w:r>
          <w:rPr>
            <w:rFonts w:ascii="Calibri" w:hAnsi="Calibri"/>
            <w:color w:val="2E74B5"/>
            <w:u w:val="single"/>
            <w:sz w:val="19"/>
          </w:rPr>
          <w:t>https://law.justia.com/codes/georgia/title-53/chapter-12/article-13/part-1/section-53-12-246/</w:t>
        </w:r>
      </w:hyperlink>
    </w:p>
    <w:p>
      <w:pPr>
        <w:widowControl/>
        <w:numPr>
          <w:ilvl w:val="0"/>
          <w:numId w:val="23"/>
        </w:numPr>
        <w:spacing w:after="30" w:line="240" w:lineRule="auto"/>
      </w:pPr>
      <w:r>
        <w:rPr>
          <w:rFonts w:ascii="Calibri" w:hAnsi="Calibri"/>
          <w:b w:val="0"/>
          <w:sz w:val="19"/>
        </w:rPr>
        <w:t xml:space="preserve">Sections 44-5-80 through 44-5-83, gifts: </w:t>
      </w:r>
      <w:hyperlink r:id="rId42">
        <w:r>
          <w:rPr>
            <w:rFonts w:ascii="Calibri" w:hAnsi="Calibri"/>
            <w:color w:val="2E74B5"/>
            <w:u w:val="single"/>
            <w:sz w:val="19"/>
          </w:rPr>
          <w:t>https://law.justia.com/codes/georgia/title-44/chapter-5/article-4/part-1/section-44-5-80/</w:t>
        </w:r>
      </w:hyperlink>
    </w:p>
    <w:p>
      <w:pPr>
        <w:widowControl/>
        <w:numPr>
          <w:ilvl w:val="0"/>
          <w:numId w:val="23"/>
        </w:numPr>
        <w:spacing w:after="30" w:line="240" w:lineRule="auto"/>
      </w:pPr>
      <w:r>
        <w:rPr>
          <w:rFonts w:ascii="Calibri" w:hAnsi="Calibri"/>
          <w:b w:val="0"/>
          <w:sz w:val="19"/>
        </w:rPr>
        <w:t xml:space="preserve">Section 13-3-20, minor contracts: </w:t>
      </w:r>
      <w:hyperlink r:id="rId43">
        <w:r>
          <w:rPr>
            <w:rFonts w:ascii="Calibri" w:hAnsi="Calibri"/>
            <w:color w:val="2E74B5"/>
            <w:u w:val="single"/>
            <w:sz w:val="19"/>
          </w:rPr>
          <w:t>https://law.justia.com/codes/georgia/title-13/chapter-3/article-2/section-13-3-20/</w:t>
        </w:r>
      </w:hyperlink>
    </w:p>
    <w:p>
      <w:pPr>
        <w:widowControl/>
        <w:numPr>
          <w:ilvl w:val="0"/>
          <w:numId w:val="23"/>
        </w:numPr>
        <w:spacing w:after="30" w:line="240" w:lineRule="auto"/>
      </w:pPr>
      <w:r>
        <w:rPr>
          <w:rFonts w:ascii="Calibri" w:hAnsi="Calibri"/>
          <w:b w:val="0"/>
          <w:sz w:val="19"/>
        </w:rPr>
        <w:t xml:space="preserve">Section 39-1-1, majority: </w:t>
      </w:r>
      <w:hyperlink r:id="rId44">
        <w:r>
          <w:rPr>
            <w:rFonts w:ascii="Calibri" w:hAnsi="Calibri"/>
            <w:color w:val="2E74B5"/>
            <w:u w:val="single"/>
            <w:sz w:val="19"/>
          </w:rPr>
          <w:t>https://law.justia.com/codes/georgia/title-39/chapter-1/section-39-1-1/</w:t>
        </w:r>
      </w:hyperlink>
    </w:p>
    <w:p>
      <w:pPr>
        <w:widowControl/>
        <w:numPr>
          <w:ilvl w:val="0"/>
          <w:numId w:val="23"/>
        </w:numPr>
        <w:spacing w:after="30" w:line="240" w:lineRule="auto"/>
      </w:pPr>
      <w:r>
        <w:rPr>
          <w:rFonts w:ascii="Calibri" w:hAnsi="Calibri"/>
          <w:b w:val="0"/>
          <w:sz w:val="19"/>
        </w:rPr>
        <w:t xml:space="preserve">In re A.P.S.: </w:t>
      </w:r>
      <w:hyperlink r:id="rId45">
        <w:r>
          <w:rPr>
            <w:rFonts w:ascii="Calibri" w:hAnsi="Calibri"/>
            <w:color w:val="2E74B5"/>
            <w:u w:val="single"/>
            <w:sz w:val="19"/>
          </w:rPr>
          <w:t>https://law.justia.com/cases/georgia/court-of-appeals/2010/a10a0069-0.html</w:t>
        </w:r>
      </w:hyperlink>
    </w:p>
    <w:p>
      <w:pPr>
        <w:pStyle w:val="Heading2"/>
        <w:pageBreakBefore w:val="0"/>
      </w:pPr>
      <w:r>
        <w:rPr>
          <w:rFonts w:ascii="Calibri" w:hAnsi="Calibri"/>
          <w:b/>
        </w:rPr>
        <w:t>Federal tax, employment, IP, KYC, and launch sources</w:t>
      </w:r>
    </w:p>
    <w:p>
      <w:pPr>
        <w:widowControl/>
        <w:numPr>
          <w:ilvl w:val="0"/>
          <w:numId w:val="24"/>
        </w:numPr>
        <w:spacing w:after="30" w:line="240" w:lineRule="auto"/>
      </w:pPr>
      <w:r>
        <w:rPr>
          <w:rFonts w:ascii="Calibri" w:hAnsi="Calibri"/>
          <w:b w:val="0"/>
          <w:sz w:val="19"/>
        </w:rPr>
        <w:t xml:space="preserve">IRS, single-member LLCs: </w:t>
      </w:r>
      <w:hyperlink r:id="rId46">
        <w:r>
          <w:rPr>
            <w:rFonts w:ascii="Calibri" w:hAnsi="Calibri"/>
            <w:color w:val="2E74B5"/>
            <w:u w:val="single"/>
            <w:sz w:val="19"/>
          </w:rPr>
          <w:t>https://www.irs.gov/businesses/small-businesses-self-employed/single-member-limited-liability-companies</w:t>
        </w:r>
      </w:hyperlink>
    </w:p>
    <w:p>
      <w:pPr>
        <w:widowControl/>
        <w:numPr>
          <w:ilvl w:val="0"/>
          <w:numId w:val="24"/>
        </w:numPr>
        <w:spacing w:after="30" w:line="240" w:lineRule="auto"/>
      </w:pPr>
      <w:r>
        <w:rPr>
          <w:rFonts w:ascii="Calibri" w:hAnsi="Calibri"/>
          <w:b w:val="0"/>
          <w:sz w:val="19"/>
        </w:rPr>
        <w:t xml:space="preserve">IRS, Form 1041 instructions: </w:t>
      </w:r>
      <w:hyperlink r:id="rId47">
        <w:r>
          <w:rPr>
            <w:rFonts w:ascii="Calibri" w:hAnsi="Calibri"/>
            <w:color w:val="2E74B5"/>
            <w:u w:val="single"/>
            <w:sz w:val="19"/>
          </w:rPr>
          <w:t>https://www.irs.gov/instructions/i1041</w:t>
        </w:r>
      </w:hyperlink>
    </w:p>
    <w:p>
      <w:pPr>
        <w:widowControl/>
        <w:numPr>
          <w:ilvl w:val="0"/>
          <w:numId w:val="24"/>
        </w:numPr>
        <w:spacing w:after="30" w:line="240" w:lineRule="auto"/>
      </w:pPr>
      <w:r>
        <w:rPr>
          <w:rFonts w:ascii="Calibri" w:hAnsi="Calibri"/>
          <w:b w:val="0"/>
          <w:sz w:val="19"/>
        </w:rPr>
        <w:t xml:space="preserve">IRS, Form 709 instructions: </w:t>
      </w:r>
      <w:hyperlink r:id="rId48">
        <w:r>
          <w:rPr>
            <w:rFonts w:ascii="Calibri" w:hAnsi="Calibri"/>
            <w:color w:val="2E74B5"/>
            <w:u w:val="single"/>
            <w:sz w:val="19"/>
          </w:rPr>
          <w:t>https://www.irs.gov/instructions/i709</w:t>
        </w:r>
      </w:hyperlink>
    </w:p>
    <w:p>
      <w:pPr>
        <w:widowControl/>
        <w:numPr>
          <w:ilvl w:val="0"/>
          <w:numId w:val="24"/>
        </w:numPr>
        <w:spacing w:after="30" w:line="240" w:lineRule="auto"/>
      </w:pPr>
      <w:r>
        <w:rPr>
          <w:rFonts w:ascii="Calibri" w:hAnsi="Calibri"/>
          <w:b w:val="0"/>
          <w:sz w:val="19"/>
        </w:rPr>
        <w:t xml:space="preserve">Treasury Regulation Section 25.2503-3, present and future interests: </w:t>
      </w:r>
      <w:hyperlink r:id="rId49">
        <w:r>
          <w:rPr>
            <w:rFonts w:ascii="Calibri" w:hAnsi="Calibri"/>
            <w:color w:val="2E74B5"/>
            <w:u w:val="single"/>
            <w:sz w:val="19"/>
          </w:rPr>
          <w:t>https://www.govinfo.gov/content/pkg/CFR-2023-title26-vol16/pdf/CFR-2023-title26-vol16-sec25-2503-3.pdf</w:t>
        </w:r>
      </w:hyperlink>
    </w:p>
    <w:p>
      <w:pPr>
        <w:widowControl/>
        <w:numPr>
          <w:ilvl w:val="0"/>
          <w:numId w:val="24"/>
        </w:numPr>
        <w:spacing w:after="30" w:line="240" w:lineRule="auto"/>
      </w:pPr>
      <w:r>
        <w:rPr>
          <w:rFonts w:ascii="Calibri" w:hAnsi="Calibri"/>
          <w:b w:val="0"/>
          <w:sz w:val="19"/>
        </w:rPr>
        <w:t xml:space="preserve">Treasury Regulation Section 25.2511-2, retained dominion and gift completion: </w:t>
      </w:r>
      <w:hyperlink r:id="rId50">
        <w:r>
          <w:rPr>
            <w:rFonts w:ascii="Calibri" w:hAnsi="Calibri"/>
            <w:color w:val="2E74B5"/>
            <w:u w:val="single"/>
            <w:sz w:val="19"/>
          </w:rPr>
          <w:t>https://www.govinfo.gov/content/pkg/CFR-2024-title26-vol16/pdf/CFR-2024-title26-vol16-sec25-2511-2.pdf</w:t>
        </w:r>
      </w:hyperlink>
    </w:p>
    <w:p>
      <w:pPr>
        <w:widowControl/>
        <w:numPr>
          <w:ilvl w:val="0"/>
          <w:numId w:val="24"/>
        </w:numPr>
        <w:spacing w:after="30" w:line="240" w:lineRule="auto"/>
      </w:pPr>
      <w:r>
        <w:rPr>
          <w:rFonts w:ascii="Calibri" w:hAnsi="Calibri"/>
          <w:b w:val="0"/>
          <w:sz w:val="19"/>
        </w:rPr>
        <w:t xml:space="preserve">IRS Revenue Ruling 2004-64, grantor tax payments and reimbursement: </w:t>
      </w:r>
      <w:hyperlink r:id="rId51">
        <w:r>
          <w:rPr>
            <w:rFonts w:ascii="Calibri" w:hAnsi="Calibri"/>
            <w:color w:val="2E74B5"/>
            <w:u w:val="single"/>
            <w:sz w:val="19"/>
          </w:rPr>
          <w:t>https://www.irs.gov/irb/2004-27_IRB</w:t>
        </w:r>
      </w:hyperlink>
    </w:p>
    <w:p>
      <w:pPr>
        <w:widowControl/>
        <w:numPr>
          <w:ilvl w:val="0"/>
          <w:numId w:val="24"/>
        </w:numPr>
        <w:spacing w:after="30" w:line="240" w:lineRule="auto"/>
      </w:pPr>
      <w:r>
        <w:rPr>
          <w:rFonts w:ascii="Calibri" w:hAnsi="Calibri"/>
          <w:b w:val="0"/>
          <w:sz w:val="19"/>
        </w:rPr>
        <w:t xml:space="preserve">26 U.S.C. Section 678, person other than grantor as substantial owner: </w:t>
      </w:r>
      <w:hyperlink r:id="rId52">
        <w:r>
          <w:rPr>
            <w:rFonts w:ascii="Calibri" w:hAnsi="Calibri"/>
            <w:color w:val="2E74B5"/>
            <w:u w:val="single"/>
            <w:sz w:val="19"/>
          </w:rPr>
          <w:t>https://uscode.house.gov/view.xhtml?edition=2023&amp;num=0&amp;req=granuleid%3AUSC-2023-title26-section678</w:t>
        </w:r>
      </w:hyperlink>
    </w:p>
    <w:p>
      <w:pPr>
        <w:widowControl/>
        <w:numPr>
          <w:ilvl w:val="0"/>
          <w:numId w:val="24"/>
        </w:numPr>
        <w:spacing w:after="30" w:line="240" w:lineRule="auto"/>
      </w:pPr>
      <w:r>
        <w:rPr>
          <w:rFonts w:ascii="Calibri" w:hAnsi="Calibri"/>
          <w:b w:val="0"/>
          <w:sz w:val="19"/>
        </w:rPr>
        <w:t xml:space="preserve">IRS, family employees: </w:t>
      </w:r>
      <w:hyperlink r:id="rId53">
        <w:r>
          <w:rPr>
            <w:rFonts w:ascii="Calibri" w:hAnsi="Calibri"/>
            <w:color w:val="2E74B5"/>
            <w:u w:val="single"/>
            <w:sz w:val="19"/>
          </w:rPr>
          <w:t>https://www.irs.gov/businesses/small-businesses-self-employed/family-employees</w:t>
        </w:r>
      </w:hyperlink>
    </w:p>
    <w:p>
      <w:pPr>
        <w:widowControl/>
        <w:numPr>
          <w:ilvl w:val="0"/>
          <w:numId w:val="24"/>
        </w:numPr>
        <w:spacing w:after="30" w:line="240" w:lineRule="auto"/>
      </w:pPr>
      <w:r>
        <w:rPr>
          <w:rFonts w:ascii="Calibri" w:hAnsi="Calibri"/>
          <w:b w:val="0"/>
          <w:sz w:val="19"/>
        </w:rPr>
        <w:t xml:space="preserve">IRS T.D. 9554, disregarded-entity family-employment treatment: </w:t>
      </w:r>
      <w:hyperlink r:id="rId54">
        <w:r>
          <w:rPr>
            <w:rFonts w:ascii="Calibri" w:hAnsi="Calibri"/>
            <w:color w:val="2E74B5"/>
            <w:u w:val="single"/>
            <w:sz w:val="19"/>
          </w:rPr>
          <w:t>https://www.irs.gov/irb/2011-50_IRB</w:t>
        </w:r>
      </w:hyperlink>
    </w:p>
    <w:p>
      <w:pPr>
        <w:widowControl/>
        <w:numPr>
          <w:ilvl w:val="0"/>
          <w:numId w:val="24"/>
        </w:numPr>
        <w:spacing w:after="30" w:line="240" w:lineRule="auto"/>
      </w:pPr>
      <w:r>
        <w:rPr>
          <w:rFonts w:ascii="Calibri" w:hAnsi="Calibri"/>
          <w:b w:val="0"/>
          <w:sz w:val="19"/>
        </w:rPr>
        <w:t xml:space="preserve">Georgia child-labor hours: </w:t>
      </w:r>
      <w:hyperlink r:id="rId55">
        <w:r>
          <w:rPr>
            <w:rFonts w:ascii="Calibri" w:hAnsi="Calibri"/>
            <w:color w:val="2E74B5"/>
            <w:u w:val="single"/>
            <w:sz w:val="19"/>
          </w:rPr>
          <w:t>https://dol.georgia.gov/child-labor-work-hour-restrictions</w:t>
        </w:r>
      </w:hyperlink>
    </w:p>
    <w:p>
      <w:pPr>
        <w:widowControl/>
        <w:numPr>
          <w:ilvl w:val="0"/>
          <w:numId w:val="24"/>
        </w:numPr>
        <w:spacing w:after="30" w:line="240" w:lineRule="auto"/>
      </w:pPr>
      <w:r>
        <w:rPr>
          <w:rFonts w:ascii="Calibri" w:hAnsi="Calibri"/>
          <w:b w:val="0"/>
          <w:sz w:val="19"/>
        </w:rPr>
        <w:t xml:space="preserve">Georgia hazardous occupations: </w:t>
      </w:r>
      <w:hyperlink r:id="rId56">
        <w:r>
          <w:rPr>
            <w:rFonts w:ascii="Calibri" w:hAnsi="Calibri"/>
            <w:color w:val="2E74B5"/>
            <w:u w:val="single"/>
            <w:sz w:val="19"/>
          </w:rPr>
          <w:t>https://dol.georgia.gov/child-labor-hazardous-occupations</w:t>
        </w:r>
      </w:hyperlink>
    </w:p>
    <w:p>
      <w:pPr>
        <w:widowControl/>
        <w:numPr>
          <w:ilvl w:val="0"/>
          <w:numId w:val="24"/>
        </w:numPr>
        <w:spacing w:after="30" w:line="240" w:lineRule="auto"/>
      </w:pPr>
      <w:r>
        <w:rPr>
          <w:rFonts w:ascii="Calibri" w:hAnsi="Calibri"/>
          <w:b w:val="0"/>
          <w:sz w:val="19"/>
        </w:rPr>
        <w:t xml:space="preserve">Copyright Act Chapter 2: </w:t>
      </w:r>
      <w:hyperlink r:id="rId57">
        <w:r>
          <w:rPr>
            <w:rFonts w:ascii="Calibri" w:hAnsi="Calibri"/>
            <w:color w:val="2E74B5"/>
            <w:u w:val="single"/>
            <w:sz w:val="19"/>
          </w:rPr>
          <w:t>https://www.copyright.gov/title17/92chap2.html</w:t>
        </w:r>
      </w:hyperlink>
    </w:p>
    <w:p>
      <w:pPr>
        <w:widowControl/>
        <w:numPr>
          <w:ilvl w:val="0"/>
          <w:numId w:val="24"/>
        </w:numPr>
        <w:spacing w:after="30" w:line="240" w:lineRule="auto"/>
      </w:pPr>
      <w:r>
        <w:rPr>
          <w:rFonts w:ascii="Calibri" w:hAnsi="Calibri"/>
          <w:b w:val="0"/>
          <w:sz w:val="19"/>
        </w:rPr>
        <w:t xml:space="preserve">Copyright Office Circular 30: </w:t>
      </w:r>
      <w:hyperlink r:id="rId58">
        <w:r>
          <w:rPr>
            <w:rFonts w:ascii="Calibri" w:hAnsi="Calibri"/>
            <w:color w:val="2E74B5"/>
            <w:u w:val="single"/>
            <w:sz w:val="19"/>
          </w:rPr>
          <w:t>https://www.copyright.gov/circs/circ30.pdf</w:t>
        </w:r>
      </w:hyperlink>
    </w:p>
    <w:p>
      <w:pPr>
        <w:widowControl/>
        <w:numPr>
          <w:ilvl w:val="0"/>
          <w:numId w:val="24"/>
        </w:numPr>
        <w:spacing w:after="30" w:line="240" w:lineRule="auto"/>
      </w:pPr>
      <w:r>
        <w:rPr>
          <w:rFonts w:ascii="Calibri" w:hAnsi="Calibri"/>
          <w:b w:val="0"/>
          <w:sz w:val="19"/>
        </w:rPr>
        <w:t xml:space="preserve">FinCEN BOI materials: </w:t>
      </w:r>
      <w:hyperlink r:id="rId59">
        <w:r>
          <w:rPr>
            <w:rFonts w:ascii="Calibri" w:hAnsi="Calibri"/>
            <w:color w:val="2E74B5"/>
            <w:u w:val="single"/>
            <w:sz w:val="19"/>
          </w:rPr>
          <w:t>https://www.fincen.gov/boi/Reference-materials</w:t>
        </w:r>
      </w:hyperlink>
    </w:p>
    <w:p>
      <w:pPr>
        <w:widowControl/>
        <w:numPr>
          <w:ilvl w:val="0"/>
          <w:numId w:val="24"/>
        </w:numPr>
        <w:spacing w:after="30" w:line="240" w:lineRule="auto"/>
      </w:pPr>
      <w:r>
        <w:rPr>
          <w:rFonts w:ascii="Calibri" w:hAnsi="Calibri"/>
          <w:b w:val="0"/>
          <w:sz w:val="19"/>
        </w:rPr>
        <w:t xml:space="preserve">Mercury terms: </w:t>
      </w:r>
      <w:hyperlink r:id="rId60">
        <w:r>
          <w:rPr>
            <w:rFonts w:ascii="Calibri" w:hAnsi="Calibri"/>
            <w:color w:val="2E74B5"/>
            <w:u w:val="single"/>
            <w:sz w:val="19"/>
          </w:rPr>
          <w:t>https://mercury.com/legal/terms</w:t>
        </w:r>
      </w:hyperlink>
    </w:p>
    <w:p>
      <w:pPr>
        <w:widowControl/>
        <w:numPr>
          <w:ilvl w:val="0"/>
          <w:numId w:val="24"/>
        </w:numPr>
        <w:spacing w:after="30" w:line="240" w:lineRule="auto"/>
      </w:pPr>
      <w:r>
        <w:rPr>
          <w:rFonts w:ascii="Calibri" w:hAnsi="Calibri"/>
          <w:b w:val="0"/>
          <w:sz w:val="19"/>
        </w:rPr>
        <w:t xml:space="preserve">Mercury roles: </w:t>
      </w:r>
      <w:hyperlink r:id="rId61">
        <w:r>
          <w:rPr>
            <w:rFonts w:ascii="Calibri" w:hAnsi="Calibri"/>
            <w:color w:val="2E74B5"/>
            <w:u w:val="single"/>
            <w:sz w:val="19"/>
          </w:rPr>
          <w:t>https://support.mercury.com/hc/en-us/articles/28768978787860-Managing-roles-and-permissions</w:t>
        </w:r>
      </w:hyperlink>
    </w:p>
    <w:p>
      <w:pPr>
        <w:widowControl/>
        <w:numPr>
          <w:ilvl w:val="0"/>
          <w:numId w:val="24"/>
        </w:numPr>
        <w:spacing w:after="30" w:line="240" w:lineRule="auto"/>
      </w:pPr>
      <w:r>
        <w:rPr>
          <w:rFonts w:ascii="Calibri" w:hAnsi="Calibri"/>
          <w:b w:val="0"/>
          <w:sz w:val="19"/>
        </w:rPr>
        <w:t xml:space="preserve">Paddle verification: </w:t>
      </w:r>
      <w:hyperlink r:id="rId62">
        <w:r>
          <w:rPr>
            <w:rFonts w:ascii="Calibri" w:hAnsi="Calibri"/>
            <w:color w:val="2E74B5"/>
            <w:u w:val="single"/>
            <w:sz w:val="19"/>
          </w:rPr>
          <w:t>https://www.paddle.com/help/start/account-verification/what-is-business-verification</w:t>
        </w:r>
      </w:hyperlink>
    </w:p>
    <w:p>
      <w:pPr>
        <w:widowControl/>
        <w:numPr>
          <w:ilvl w:val="0"/>
          <w:numId w:val="24"/>
        </w:numPr>
        <w:spacing w:after="30" w:line="240" w:lineRule="auto"/>
      </w:pPr>
      <w:r>
        <w:rPr>
          <w:rFonts w:ascii="Calibri" w:hAnsi="Calibri"/>
          <w:b w:val="0"/>
          <w:sz w:val="19"/>
        </w:rPr>
        <w:t xml:space="preserve">Paddle Master Services Agreement: </w:t>
      </w:r>
      <w:hyperlink r:id="rId63">
        <w:r>
          <w:rPr>
            <w:rFonts w:ascii="Calibri" w:hAnsi="Calibri"/>
            <w:color w:val="2E74B5"/>
            <w:u w:val="single"/>
            <w:sz w:val="19"/>
          </w:rPr>
          <w:t>https://www.paddle.com/legal/terms</w:t>
        </w:r>
      </w:hyperlink>
    </w:p>
    <w:p>
      <w:pPr>
        <w:widowControl/>
        <w:numPr>
          <w:ilvl w:val="0"/>
          <w:numId w:val="24"/>
        </w:numPr>
        <w:spacing w:after="30" w:line="240" w:lineRule="auto"/>
      </w:pPr>
      <w:r>
        <w:rPr>
          <w:rFonts w:ascii="Calibri" w:hAnsi="Calibri"/>
          <w:b w:val="0"/>
          <w:sz w:val="19"/>
        </w:rPr>
        <w:t xml:space="preserve">Paddle Buyer Terms: </w:t>
      </w:r>
      <w:hyperlink r:id="rId64">
        <w:r>
          <w:rPr>
            <w:rFonts w:ascii="Calibri" w:hAnsi="Calibri"/>
            <w:color w:val="2E74B5"/>
            <w:u w:val="single"/>
            <w:sz w:val="19"/>
          </w:rPr>
          <w:t>https://www.paddle.com/legal/buyer-terms</w:t>
        </w:r>
      </w:hyperlink>
    </w:p>
    <w:p>
      <w:pPr>
        <w:widowControl/>
        <w:numPr>
          <w:ilvl w:val="0"/>
          <w:numId w:val="24"/>
        </w:numPr>
        <w:spacing w:after="30" w:line="240" w:lineRule="auto"/>
      </w:pPr>
      <w:r>
        <w:rPr>
          <w:rFonts w:ascii="Calibri" w:hAnsi="Calibri"/>
          <w:b w:val="0"/>
          <w:sz w:val="19"/>
        </w:rPr>
        <w:t xml:space="preserve">Paddle Refund Policy: </w:t>
      </w:r>
      <w:hyperlink r:id="rId65">
        <w:r>
          <w:rPr>
            <w:rFonts w:ascii="Calibri" w:hAnsi="Calibri"/>
            <w:color w:val="2E74B5"/>
            <w:u w:val="single"/>
            <w:sz w:val="19"/>
          </w:rPr>
          <w:t>https://www.paddle.com/legal/refund-policy</w:t>
        </w:r>
      </w:hyperlink>
    </w:p>
    <w:p>
      <w:pPr>
        <w:widowControl/>
        <w:numPr>
          <w:ilvl w:val="0"/>
          <w:numId w:val="24"/>
        </w:numPr>
        <w:spacing w:after="30" w:line="240" w:lineRule="auto"/>
      </w:pPr>
      <w:r>
        <w:rPr>
          <w:rFonts w:ascii="Calibri" w:hAnsi="Calibri"/>
          <w:b w:val="0"/>
          <w:sz w:val="19"/>
        </w:rPr>
        <w:t xml:space="preserve">BIS encryption controls: </w:t>
      </w:r>
      <w:hyperlink r:id="rId66">
        <w:r>
          <w:rPr>
            <w:rFonts w:ascii="Calibri" w:hAnsi="Calibri"/>
            <w:color w:val="2E74B5"/>
            <w:u w:val="single"/>
            <w:sz w:val="19"/>
          </w:rPr>
          <w:t>https://www.bis.gov/learn-support/encryption-controls</w:t>
        </w:r>
      </w:hyperlink>
    </w:p>
    <w:p>
      <w:pPr>
        <w:widowControl/>
        <w:numPr>
          <w:ilvl w:val="0"/>
          <w:numId w:val="24"/>
        </w:numPr>
        <w:spacing w:after="30" w:line="240" w:lineRule="auto"/>
      </w:pPr>
      <w:r>
        <w:rPr>
          <w:rFonts w:ascii="Calibri" w:hAnsi="Calibri"/>
          <w:b w:val="0"/>
          <w:sz w:val="19"/>
        </w:rPr>
        <w:t xml:space="preserve">OFAC sanctions programs: </w:t>
      </w:r>
      <w:hyperlink r:id="rId67">
        <w:r>
          <w:rPr>
            <w:rFonts w:ascii="Calibri" w:hAnsi="Calibri"/>
            <w:color w:val="2E74B5"/>
            <w:u w:val="single"/>
            <w:sz w:val="19"/>
          </w:rPr>
          <w:t>https://ofac.treasury.gov/sanctions-programs-and-country-information/where-is-ofacs-country-list-what-countries-do-i-need-to-worry-about-in-terms-of-us-sanctions</w:t>
        </w:r>
      </w:hyperlink>
    </w:p>
    <w:sectPr>
      <w:headerReference w:type="default" r:id="rId9"/>
      <w:footerReference w:type="default" r:id="rId10"/>
      <w:pgSz w:w="12240" w:h="15840"/>
      <w:pgMar w:top="1123" w:right="1066" w:bottom="1123" w:left="106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20"/>
      <w:jc w:val="left"/>
      <w:pBdr>
        <w:top w:val="single" w:sz="4" w:space="3" w:color="CBD5DF"/>
      </w:pBdr>
    </w:pPr>
    <w:r>
      <w:rPr>
        <w:rFonts w:ascii="Calibri" w:hAnsi="Calibri"/>
        <w:color w:val="5D6874"/>
        <w:sz w:val="16"/>
      </w:rPr>
      <w:t>CONFIDENTIAL - NOT FOR SIGNATURE OR FILING</w:t>
    </w:r>
    <w:r>
      <w:tab/>
      <w:t xml:space="preserve">Page </w:t>
    </w:r>
    <w:r>
      <w:rPr>
        <w:rFonts w:ascii="Calibri" w:hAnsi="Calibri"/>
        <w:color w:val="5D6874"/>
        <w:sz w:val="16"/>
      </w:rPr>
      <w:fldChar w:fldCharType="begin"/>
      <w:instrText xml:space="preserve">PAGE</w:instrText>
      <w:fldChar w:fldCharType="separate"/>
      <w:t>1</w:t>
      <w:fldChar w:fldCharType="end"/>
    </w:r>
    <w:r>
      <w:rPr>
        <w:rFonts w:ascii="Calibri" w:hAnsi="Calibri"/>
        <w:color w:val="5D6874"/>
        <w:sz w:val="16"/>
      </w:rPr>
      <w:t xml:space="preserve"> of </w:t>
    </w:r>
    <w:r>
      <w:rPr>
        <w:rFonts w:ascii="Calibri" w:hAnsi="Calibri"/>
        <w:color w:val="5D6874"/>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20"/>
      <w:jc w:val="left"/>
      <w:pBdr>
        <w:bottom w:val="single" w:sz="4" w:space="3" w:color="CBD5DF"/>
      </w:pBdr>
    </w:pPr>
    <w:r>
      <w:rPr>
        <w:rFonts w:ascii="Calibri" w:hAnsi="Calibri"/>
        <w:b/>
        <w:color w:val="18324B"/>
        <w:sz w:val="16"/>
      </w:rPr>
      <w:t>CAISSON SOFTWARE LLC</w:t>
    </w:r>
    <w:r>
      <w:tab/>
    </w:r>
    <w:r>
      <w:rPr>
        <w:rFonts w:ascii="Calibri" w:hAnsi="Calibri"/>
        <w:b/>
        <w:color w:val="9B1C1C"/>
        <w:sz w:val="16"/>
      </w:rPr>
      <w:t>DRAFT FOR DISCUSSION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decimal"/>
      <w:lvlText w:val="%1."/>
      <w:lvlJc w:val="left"/>
      <w:pPr>
        <w:tabs>
          <w:tab w:val="num" w:pos="720"/>
        </w:tabs>
        <w:ind w:left="720" w:hanging="360"/>
        <w:spacing w:after="160" w:line="280" w:lineRule="auto"/>
      </w:pPr>
    </w:lvl>
    <w:lvl w:ilvl="1">
      <w:start w:val="1"/>
      <w:numFmt w:val="decimal"/>
      <w:lvlText w:val="%2."/>
      <w:lvlJc w:val="left"/>
      <w:pPr>
        <w:tabs>
          <w:tab w:val="num" w:pos="1080"/>
        </w:tabs>
        <w:ind w:left="1080" w:hanging="360"/>
        <w:spacing w:after="160" w:line="280" w:lineRule="auto"/>
      </w:pPr>
    </w:lvl>
    <w:lvl w:ilvl="2">
      <w:start w:val="1"/>
      <w:numFmt w:val="decimal"/>
      <w:lvlText w:val="%3."/>
      <w:lvlJc w:val="left"/>
      <w:pPr>
        <w:tabs>
          <w:tab w:val="num" w:pos="1440"/>
        </w:tabs>
        <w:ind w:left="1440" w:hanging="360"/>
        <w:spacing w:after="160" w:line="280" w:lineRule="auto"/>
      </w:pPr>
    </w:lvl>
  </w:abstractNum>
  <w:num w:numId="10">
    <w:abstractNumId w:val="9"/>
  </w:num>
  <w:abstractNum w:abstractNumId="10">
    <w:multiLevelType w:val="multilevel"/>
    <w:lvl w:ilvl="0">
      <w:start w:val="1"/>
      <w:numFmt w:val="bullet"/>
      <w:lvlText w:val="•"/>
      <w:lvlJc w:val="left"/>
      <w:pPr>
        <w:tabs>
          <w:tab w:val="num" w:pos="720"/>
        </w:tabs>
        <w:ind w:left="720" w:hanging="360"/>
        <w:spacing w:after="160" w:line="280" w:lineRule="auto"/>
      </w:pPr>
      <w:rPr>
        <w:rFonts w:ascii="Calibri" w:hAnsi="Calibri"/>
      </w:rPr>
    </w:lvl>
    <w:lvl w:ilvl="1">
      <w:start w:val="1"/>
      <w:numFmt w:val="bullet"/>
      <w:lvlText w:val="-"/>
      <w:lvlJc w:val="left"/>
      <w:pPr>
        <w:tabs>
          <w:tab w:val="num" w:pos="1080"/>
        </w:tabs>
        <w:ind w:left="1080" w:hanging="360"/>
        <w:spacing w:after="160" w:line="280" w:lineRule="auto"/>
      </w:pPr>
      <w:rPr>
        <w:rFonts w:ascii="Calibri" w:hAnsi="Calibri"/>
      </w:rPr>
    </w:lvl>
    <w:lvl w:ilvl="2">
      <w:start w:val="1"/>
      <w:numFmt w:val="bullet"/>
      <w:lvlText w:val="-"/>
      <w:lvlJc w:val="left"/>
      <w:pPr>
        <w:tabs>
          <w:tab w:val="num" w:pos="1440"/>
        </w:tabs>
        <w:ind w:left="1440" w:hanging="360"/>
        <w:spacing w:after="160" w:line="280" w:lineRule="auto"/>
      </w:pPr>
      <w:rPr>
        <w:rFonts w:ascii="Calibri" w:hAnsi="Calibri"/>
      </w:rPr>
    </w:lvl>
  </w:abstractNum>
  <w:num w:numId="11">
    <w:abstractNumId w:val="10"/>
  </w:num>
  <w:abstractNum w:abstractNumId="11">
    <w:multiLevelType w:val="multilevel"/>
    <w:lvl w:ilvl="0">
      <w:start w:val="1"/>
      <w:numFmt w:val="decimal"/>
      <w:lvlText w:val="%1."/>
      <w:lvlJc w:val="left"/>
      <w:pPr>
        <w:tabs>
          <w:tab w:val="num" w:pos="720"/>
        </w:tabs>
        <w:ind w:left="720" w:hanging="360"/>
        <w:spacing w:after="160" w:line="280" w:lineRule="auto"/>
      </w:pPr>
    </w:lvl>
    <w:lvl w:ilvl="1">
      <w:start w:val="1"/>
      <w:numFmt w:val="decimal"/>
      <w:lvlText w:val="%2."/>
      <w:lvlJc w:val="left"/>
      <w:pPr>
        <w:tabs>
          <w:tab w:val="num" w:pos="1080"/>
        </w:tabs>
        <w:ind w:left="1080" w:hanging="360"/>
        <w:spacing w:after="160" w:line="280" w:lineRule="auto"/>
      </w:pPr>
    </w:lvl>
    <w:lvl w:ilvl="2">
      <w:start w:val="1"/>
      <w:numFmt w:val="decimal"/>
      <w:lvlText w:val="%3."/>
      <w:lvlJc w:val="left"/>
      <w:pPr>
        <w:tabs>
          <w:tab w:val="num" w:pos="1440"/>
        </w:tabs>
        <w:ind w:left="1440" w:hanging="360"/>
        <w:spacing w:after="160" w:line="280" w:lineRule="auto"/>
      </w:pPr>
    </w:lvl>
  </w:abstractNum>
  <w:num w:numId="12">
    <w:abstractNumId w:val="11"/>
  </w:num>
  <w:abstractNum w:abstractNumId="12">
    <w:multiLevelType w:val="multilevel"/>
    <w:lvl w:ilvl="0">
      <w:start w:val="1"/>
      <w:numFmt w:val="bullet"/>
      <w:lvlText w:val="•"/>
      <w:lvlJc w:val="left"/>
      <w:pPr>
        <w:tabs>
          <w:tab w:val="num" w:pos="720"/>
        </w:tabs>
        <w:ind w:left="720" w:hanging="360"/>
        <w:spacing w:after="160" w:line="280" w:lineRule="auto"/>
      </w:pPr>
      <w:rPr>
        <w:rFonts w:ascii="Calibri" w:hAnsi="Calibri"/>
      </w:rPr>
    </w:lvl>
    <w:lvl w:ilvl="1">
      <w:start w:val="1"/>
      <w:numFmt w:val="bullet"/>
      <w:lvlText w:val="-"/>
      <w:lvlJc w:val="left"/>
      <w:pPr>
        <w:tabs>
          <w:tab w:val="num" w:pos="1080"/>
        </w:tabs>
        <w:ind w:left="1080" w:hanging="360"/>
        <w:spacing w:after="160" w:line="280" w:lineRule="auto"/>
      </w:pPr>
      <w:rPr>
        <w:rFonts w:ascii="Calibri" w:hAnsi="Calibri"/>
      </w:rPr>
    </w:lvl>
    <w:lvl w:ilvl="2">
      <w:start w:val="1"/>
      <w:numFmt w:val="bullet"/>
      <w:lvlText w:val="-"/>
      <w:lvlJc w:val="left"/>
      <w:pPr>
        <w:tabs>
          <w:tab w:val="num" w:pos="1440"/>
        </w:tabs>
        <w:ind w:left="1440" w:hanging="360"/>
        <w:spacing w:after="160" w:line="280" w:lineRule="auto"/>
      </w:pPr>
      <w:rPr>
        <w:rFonts w:ascii="Calibri" w:hAnsi="Calibri"/>
      </w:rPr>
    </w:lvl>
  </w:abstractNum>
  <w:num w:numId="13">
    <w:abstractNumId w:val="12"/>
  </w:num>
  <w:abstractNum w:abstractNumId="13">
    <w:multiLevelType w:val="multilevel"/>
    <w:lvl w:ilvl="0">
      <w:start w:val="1"/>
      <w:numFmt w:val="bullet"/>
      <w:lvlText w:val="•"/>
      <w:lvlJc w:val="left"/>
      <w:pPr>
        <w:tabs>
          <w:tab w:val="num" w:pos="720"/>
        </w:tabs>
        <w:ind w:left="720" w:hanging="360"/>
        <w:spacing w:after="160" w:line="280" w:lineRule="auto"/>
      </w:pPr>
      <w:rPr>
        <w:rFonts w:ascii="Calibri" w:hAnsi="Calibri"/>
      </w:rPr>
    </w:lvl>
    <w:lvl w:ilvl="1">
      <w:start w:val="1"/>
      <w:numFmt w:val="bullet"/>
      <w:lvlText w:val="-"/>
      <w:lvlJc w:val="left"/>
      <w:pPr>
        <w:tabs>
          <w:tab w:val="num" w:pos="1080"/>
        </w:tabs>
        <w:ind w:left="1080" w:hanging="360"/>
        <w:spacing w:after="160" w:line="280" w:lineRule="auto"/>
      </w:pPr>
      <w:rPr>
        <w:rFonts w:ascii="Calibri" w:hAnsi="Calibri"/>
      </w:rPr>
    </w:lvl>
    <w:lvl w:ilvl="2">
      <w:start w:val="1"/>
      <w:numFmt w:val="bullet"/>
      <w:lvlText w:val="-"/>
      <w:lvlJc w:val="left"/>
      <w:pPr>
        <w:tabs>
          <w:tab w:val="num" w:pos="1440"/>
        </w:tabs>
        <w:ind w:left="1440" w:hanging="360"/>
        <w:spacing w:after="160" w:line="280" w:lineRule="auto"/>
      </w:pPr>
      <w:rPr>
        <w:rFonts w:ascii="Calibri" w:hAnsi="Calibri"/>
      </w:rPr>
    </w:lvl>
  </w:abstractNum>
  <w:num w:numId="14">
    <w:abstractNumId w:val="13"/>
  </w:num>
  <w:abstractNum w:abstractNumId="14">
    <w:multiLevelType w:val="multilevel"/>
    <w:lvl w:ilvl="0">
      <w:start w:val="1"/>
      <w:numFmt w:val="bullet"/>
      <w:lvlText w:val="•"/>
      <w:lvlJc w:val="left"/>
      <w:pPr>
        <w:tabs>
          <w:tab w:val="num" w:pos="720"/>
        </w:tabs>
        <w:ind w:left="720" w:hanging="360"/>
        <w:spacing w:after="160" w:line="280" w:lineRule="auto"/>
      </w:pPr>
      <w:rPr>
        <w:rFonts w:ascii="Calibri" w:hAnsi="Calibri"/>
      </w:rPr>
    </w:lvl>
    <w:lvl w:ilvl="1">
      <w:start w:val="1"/>
      <w:numFmt w:val="bullet"/>
      <w:lvlText w:val="-"/>
      <w:lvlJc w:val="left"/>
      <w:pPr>
        <w:tabs>
          <w:tab w:val="num" w:pos="1080"/>
        </w:tabs>
        <w:ind w:left="1080" w:hanging="360"/>
        <w:spacing w:after="160" w:line="280" w:lineRule="auto"/>
      </w:pPr>
      <w:rPr>
        <w:rFonts w:ascii="Calibri" w:hAnsi="Calibri"/>
      </w:rPr>
    </w:lvl>
    <w:lvl w:ilvl="2">
      <w:start w:val="1"/>
      <w:numFmt w:val="bullet"/>
      <w:lvlText w:val="-"/>
      <w:lvlJc w:val="left"/>
      <w:pPr>
        <w:tabs>
          <w:tab w:val="num" w:pos="1440"/>
        </w:tabs>
        <w:ind w:left="1440" w:hanging="360"/>
        <w:spacing w:after="160" w:line="280" w:lineRule="auto"/>
      </w:pPr>
      <w:rPr>
        <w:rFonts w:ascii="Calibri" w:hAnsi="Calibri"/>
      </w:rPr>
    </w:lvl>
  </w:abstractNum>
  <w:num w:numId="15">
    <w:abstractNumId w:val="14"/>
  </w:num>
  <w:abstractNum w:abstractNumId="15">
    <w:multiLevelType w:val="multilevel"/>
    <w:lvl w:ilvl="0">
      <w:start w:val="1"/>
      <w:numFmt w:val="decimal"/>
      <w:lvlText w:val="%1."/>
      <w:lvlJc w:val="left"/>
      <w:pPr>
        <w:tabs>
          <w:tab w:val="num" w:pos="720"/>
        </w:tabs>
        <w:ind w:left="720" w:hanging="360"/>
        <w:spacing w:after="160" w:line="280" w:lineRule="auto"/>
      </w:pPr>
    </w:lvl>
    <w:lvl w:ilvl="1">
      <w:start w:val="1"/>
      <w:numFmt w:val="decimal"/>
      <w:lvlText w:val="%2."/>
      <w:lvlJc w:val="left"/>
      <w:pPr>
        <w:tabs>
          <w:tab w:val="num" w:pos="1080"/>
        </w:tabs>
        <w:ind w:left="1080" w:hanging="360"/>
        <w:spacing w:after="160" w:line="280" w:lineRule="auto"/>
      </w:pPr>
    </w:lvl>
    <w:lvl w:ilvl="2">
      <w:start w:val="1"/>
      <w:numFmt w:val="decimal"/>
      <w:lvlText w:val="%3."/>
      <w:lvlJc w:val="left"/>
      <w:pPr>
        <w:tabs>
          <w:tab w:val="num" w:pos="1440"/>
        </w:tabs>
        <w:ind w:left="1440" w:hanging="360"/>
        <w:spacing w:after="160" w:line="280" w:lineRule="auto"/>
      </w:pPr>
    </w:lvl>
  </w:abstractNum>
  <w:num w:numId="16">
    <w:abstractNumId w:val="15"/>
  </w:num>
  <w:abstractNum w:abstractNumId="16">
    <w:multiLevelType w:val="multilevel"/>
    <w:lvl w:ilvl="0">
      <w:start w:val="1"/>
      <w:numFmt w:val="decimal"/>
      <w:lvlText w:val="%1."/>
      <w:lvlJc w:val="left"/>
      <w:pPr>
        <w:tabs>
          <w:tab w:val="num" w:pos="720"/>
        </w:tabs>
        <w:ind w:left="720" w:hanging="360"/>
        <w:spacing w:after="160" w:line="280" w:lineRule="auto"/>
      </w:pPr>
    </w:lvl>
    <w:lvl w:ilvl="1">
      <w:start w:val="1"/>
      <w:numFmt w:val="decimal"/>
      <w:lvlText w:val="%2."/>
      <w:lvlJc w:val="left"/>
      <w:pPr>
        <w:tabs>
          <w:tab w:val="num" w:pos="1080"/>
        </w:tabs>
        <w:ind w:left="1080" w:hanging="360"/>
        <w:spacing w:after="160" w:line="280" w:lineRule="auto"/>
      </w:pPr>
    </w:lvl>
    <w:lvl w:ilvl="2">
      <w:start w:val="1"/>
      <w:numFmt w:val="decimal"/>
      <w:lvlText w:val="%3."/>
      <w:lvlJc w:val="left"/>
      <w:pPr>
        <w:tabs>
          <w:tab w:val="num" w:pos="1440"/>
        </w:tabs>
        <w:ind w:left="1440" w:hanging="360"/>
        <w:spacing w:after="160" w:line="280" w:lineRule="auto"/>
      </w:pPr>
    </w:lvl>
  </w:abstractNum>
  <w:num w:numId="17">
    <w:abstractNumId w:val="16"/>
  </w:num>
  <w:abstractNum w:abstractNumId="17">
    <w:multiLevelType w:val="multilevel"/>
    <w:lvl w:ilvl="0">
      <w:start w:val="1"/>
      <w:numFmt w:val="decimal"/>
      <w:lvlText w:val="%1."/>
      <w:lvlJc w:val="left"/>
      <w:pPr>
        <w:tabs>
          <w:tab w:val="num" w:pos="720"/>
        </w:tabs>
        <w:ind w:left="720" w:hanging="360"/>
        <w:spacing w:after="160" w:line="280" w:lineRule="auto"/>
      </w:pPr>
    </w:lvl>
    <w:lvl w:ilvl="1">
      <w:start w:val="1"/>
      <w:numFmt w:val="decimal"/>
      <w:lvlText w:val="%2."/>
      <w:lvlJc w:val="left"/>
      <w:pPr>
        <w:tabs>
          <w:tab w:val="num" w:pos="1080"/>
        </w:tabs>
        <w:ind w:left="1080" w:hanging="360"/>
        <w:spacing w:after="160" w:line="280" w:lineRule="auto"/>
      </w:pPr>
    </w:lvl>
    <w:lvl w:ilvl="2">
      <w:start w:val="1"/>
      <w:numFmt w:val="decimal"/>
      <w:lvlText w:val="%3."/>
      <w:lvlJc w:val="left"/>
      <w:pPr>
        <w:tabs>
          <w:tab w:val="num" w:pos="1440"/>
        </w:tabs>
        <w:ind w:left="1440" w:hanging="360"/>
        <w:spacing w:after="160" w:line="280" w:lineRule="auto"/>
      </w:pPr>
    </w:lvl>
  </w:abstractNum>
  <w:num w:numId="18">
    <w:abstractNumId w:val="17"/>
  </w:num>
  <w:abstractNum w:abstractNumId="18">
    <w:multiLevelType w:val="multilevel"/>
    <w:lvl w:ilvl="0">
      <w:start w:val="1"/>
      <w:numFmt w:val="bullet"/>
      <w:lvlText w:val="•"/>
      <w:lvlJc w:val="left"/>
      <w:pPr>
        <w:tabs>
          <w:tab w:val="num" w:pos="720"/>
        </w:tabs>
        <w:ind w:left="720" w:hanging="360"/>
        <w:spacing w:after="160" w:line="280" w:lineRule="auto"/>
      </w:pPr>
      <w:rPr>
        <w:rFonts w:ascii="Calibri" w:hAnsi="Calibri"/>
      </w:rPr>
    </w:lvl>
    <w:lvl w:ilvl="1">
      <w:start w:val="1"/>
      <w:numFmt w:val="bullet"/>
      <w:lvlText w:val="-"/>
      <w:lvlJc w:val="left"/>
      <w:pPr>
        <w:tabs>
          <w:tab w:val="num" w:pos="1080"/>
        </w:tabs>
        <w:ind w:left="1080" w:hanging="360"/>
        <w:spacing w:after="160" w:line="280" w:lineRule="auto"/>
      </w:pPr>
      <w:rPr>
        <w:rFonts w:ascii="Calibri" w:hAnsi="Calibri"/>
      </w:rPr>
    </w:lvl>
    <w:lvl w:ilvl="2">
      <w:start w:val="1"/>
      <w:numFmt w:val="bullet"/>
      <w:lvlText w:val="-"/>
      <w:lvlJc w:val="left"/>
      <w:pPr>
        <w:tabs>
          <w:tab w:val="num" w:pos="1440"/>
        </w:tabs>
        <w:ind w:left="1440" w:hanging="360"/>
        <w:spacing w:after="160" w:line="280" w:lineRule="auto"/>
      </w:pPr>
      <w:rPr>
        <w:rFonts w:ascii="Calibri" w:hAnsi="Calibri"/>
      </w:rPr>
    </w:lvl>
  </w:abstractNum>
  <w:num w:numId="19">
    <w:abstractNumId w:val="18"/>
  </w:num>
  <w:abstractNum w:abstractNumId="19">
    <w:multiLevelType w:val="multilevel"/>
    <w:lvl w:ilvl="0">
      <w:start w:val="1"/>
      <w:numFmt w:val="bullet"/>
      <w:lvlText w:val="•"/>
      <w:lvlJc w:val="left"/>
      <w:pPr>
        <w:tabs>
          <w:tab w:val="num" w:pos="720"/>
        </w:tabs>
        <w:ind w:left="720" w:hanging="360"/>
        <w:spacing w:after="160" w:line="280" w:lineRule="auto"/>
      </w:pPr>
      <w:rPr>
        <w:rFonts w:ascii="Calibri" w:hAnsi="Calibri"/>
      </w:rPr>
    </w:lvl>
    <w:lvl w:ilvl="1">
      <w:start w:val="1"/>
      <w:numFmt w:val="bullet"/>
      <w:lvlText w:val="-"/>
      <w:lvlJc w:val="left"/>
      <w:pPr>
        <w:tabs>
          <w:tab w:val="num" w:pos="1080"/>
        </w:tabs>
        <w:ind w:left="1080" w:hanging="360"/>
        <w:spacing w:after="160" w:line="280" w:lineRule="auto"/>
      </w:pPr>
      <w:rPr>
        <w:rFonts w:ascii="Calibri" w:hAnsi="Calibri"/>
      </w:rPr>
    </w:lvl>
    <w:lvl w:ilvl="2">
      <w:start w:val="1"/>
      <w:numFmt w:val="bullet"/>
      <w:lvlText w:val="-"/>
      <w:lvlJc w:val="left"/>
      <w:pPr>
        <w:tabs>
          <w:tab w:val="num" w:pos="1440"/>
        </w:tabs>
        <w:ind w:left="1440" w:hanging="360"/>
        <w:spacing w:after="160" w:line="280" w:lineRule="auto"/>
      </w:pPr>
      <w:rPr>
        <w:rFonts w:ascii="Calibri" w:hAnsi="Calibri"/>
      </w:rPr>
    </w:lvl>
  </w:abstractNum>
  <w:num w:numId="20">
    <w:abstractNumId w:val="19"/>
  </w:num>
  <w:abstractNum w:abstractNumId="20">
    <w:multiLevelType w:val="multilevel"/>
    <w:lvl w:ilvl="0">
      <w:start w:val="1"/>
      <w:numFmt w:val="bullet"/>
      <w:lvlText w:val="•"/>
      <w:lvlJc w:val="left"/>
      <w:pPr>
        <w:tabs>
          <w:tab w:val="num" w:pos="720"/>
        </w:tabs>
        <w:ind w:left="720" w:hanging="360"/>
        <w:spacing w:after="160" w:line="280" w:lineRule="auto"/>
      </w:pPr>
      <w:rPr>
        <w:rFonts w:ascii="Calibri" w:hAnsi="Calibri"/>
      </w:rPr>
    </w:lvl>
    <w:lvl w:ilvl="1">
      <w:start w:val="1"/>
      <w:numFmt w:val="bullet"/>
      <w:lvlText w:val="-"/>
      <w:lvlJc w:val="left"/>
      <w:pPr>
        <w:tabs>
          <w:tab w:val="num" w:pos="1080"/>
        </w:tabs>
        <w:ind w:left="1080" w:hanging="360"/>
        <w:spacing w:after="160" w:line="280" w:lineRule="auto"/>
      </w:pPr>
      <w:rPr>
        <w:rFonts w:ascii="Calibri" w:hAnsi="Calibri"/>
      </w:rPr>
    </w:lvl>
    <w:lvl w:ilvl="2">
      <w:start w:val="1"/>
      <w:numFmt w:val="bullet"/>
      <w:lvlText w:val="-"/>
      <w:lvlJc w:val="left"/>
      <w:pPr>
        <w:tabs>
          <w:tab w:val="num" w:pos="1440"/>
        </w:tabs>
        <w:ind w:left="1440" w:hanging="360"/>
        <w:spacing w:after="160" w:line="280" w:lineRule="auto"/>
      </w:pPr>
      <w:rPr>
        <w:rFonts w:ascii="Calibri" w:hAnsi="Calibri"/>
      </w:rPr>
    </w:lvl>
  </w:abstractNum>
  <w:num w:numId="21">
    <w:abstractNumId w:val="20"/>
  </w:num>
  <w:abstractNum w:abstractNumId="21">
    <w:multiLevelType w:val="multilevel"/>
    <w:lvl w:ilvl="0">
      <w:start w:val="1"/>
      <w:numFmt w:val="bullet"/>
      <w:lvlText w:val="•"/>
      <w:lvlJc w:val="left"/>
      <w:pPr>
        <w:tabs>
          <w:tab w:val="num" w:pos="720"/>
        </w:tabs>
        <w:ind w:left="720" w:hanging="360"/>
        <w:spacing w:after="160" w:line="280" w:lineRule="auto"/>
      </w:pPr>
      <w:rPr>
        <w:rFonts w:ascii="Calibri" w:hAnsi="Calibri"/>
      </w:rPr>
    </w:lvl>
    <w:lvl w:ilvl="1">
      <w:start w:val="1"/>
      <w:numFmt w:val="bullet"/>
      <w:lvlText w:val="-"/>
      <w:lvlJc w:val="left"/>
      <w:pPr>
        <w:tabs>
          <w:tab w:val="num" w:pos="1080"/>
        </w:tabs>
        <w:ind w:left="1080" w:hanging="360"/>
        <w:spacing w:after="160" w:line="280" w:lineRule="auto"/>
      </w:pPr>
      <w:rPr>
        <w:rFonts w:ascii="Calibri" w:hAnsi="Calibri"/>
      </w:rPr>
    </w:lvl>
    <w:lvl w:ilvl="2">
      <w:start w:val="1"/>
      <w:numFmt w:val="bullet"/>
      <w:lvlText w:val="-"/>
      <w:lvlJc w:val="left"/>
      <w:pPr>
        <w:tabs>
          <w:tab w:val="num" w:pos="1440"/>
        </w:tabs>
        <w:ind w:left="1440" w:hanging="360"/>
        <w:spacing w:after="160" w:line="280" w:lineRule="auto"/>
      </w:pPr>
      <w:rPr>
        <w:rFonts w:ascii="Calibri" w:hAnsi="Calibri"/>
      </w:rPr>
    </w:lvl>
  </w:abstractNum>
  <w:num w:numId="22">
    <w:abstractNumId w:val="21"/>
  </w:num>
  <w:abstractNum w:abstractNumId="22">
    <w:multiLevelType w:val="multilevel"/>
    <w:lvl w:ilvl="0">
      <w:start w:val="1"/>
      <w:numFmt w:val="bullet"/>
      <w:lvlText w:val="•"/>
      <w:lvlJc w:val="left"/>
      <w:pPr>
        <w:tabs>
          <w:tab w:val="num" w:pos="720"/>
        </w:tabs>
        <w:ind w:left="720" w:hanging="360"/>
        <w:spacing w:after="160" w:line="280" w:lineRule="auto"/>
      </w:pPr>
      <w:rPr>
        <w:rFonts w:ascii="Calibri" w:hAnsi="Calibri"/>
      </w:rPr>
    </w:lvl>
    <w:lvl w:ilvl="1">
      <w:start w:val="1"/>
      <w:numFmt w:val="bullet"/>
      <w:lvlText w:val="-"/>
      <w:lvlJc w:val="left"/>
      <w:pPr>
        <w:tabs>
          <w:tab w:val="num" w:pos="1080"/>
        </w:tabs>
        <w:ind w:left="1080" w:hanging="360"/>
        <w:spacing w:after="160" w:line="280" w:lineRule="auto"/>
      </w:pPr>
      <w:rPr>
        <w:rFonts w:ascii="Calibri" w:hAnsi="Calibri"/>
      </w:rPr>
    </w:lvl>
    <w:lvl w:ilvl="2">
      <w:start w:val="1"/>
      <w:numFmt w:val="bullet"/>
      <w:lvlText w:val="-"/>
      <w:lvlJc w:val="left"/>
      <w:pPr>
        <w:tabs>
          <w:tab w:val="num" w:pos="1440"/>
        </w:tabs>
        <w:ind w:left="1440" w:hanging="360"/>
        <w:spacing w:after="160" w:line="280" w:lineRule="auto"/>
      </w:pPr>
      <w:rPr>
        <w:rFonts w:ascii="Calibri" w:hAnsi="Calibri"/>
      </w:rPr>
    </w:lvl>
  </w:abstractNum>
  <w:num w:numId="23">
    <w:abstractNumId w:val="22"/>
  </w:num>
  <w:abstractNum w:abstractNumId="23">
    <w:multiLevelType w:val="multilevel"/>
    <w:lvl w:ilvl="0">
      <w:start w:val="1"/>
      <w:numFmt w:val="bullet"/>
      <w:lvlText w:val="•"/>
      <w:lvlJc w:val="left"/>
      <w:pPr>
        <w:tabs>
          <w:tab w:val="num" w:pos="720"/>
        </w:tabs>
        <w:ind w:left="720" w:hanging="360"/>
        <w:spacing w:after="160" w:line="280" w:lineRule="auto"/>
      </w:pPr>
      <w:rPr>
        <w:rFonts w:ascii="Calibri" w:hAnsi="Calibri"/>
      </w:rPr>
    </w:lvl>
    <w:lvl w:ilvl="1">
      <w:start w:val="1"/>
      <w:numFmt w:val="bullet"/>
      <w:lvlText w:val="-"/>
      <w:lvlJc w:val="left"/>
      <w:pPr>
        <w:tabs>
          <w:tab w:val="num" w:pos="1080"/>
        </w:tabs>
        <w:ind w:left="1080" w:hanging="360"/>
        <w:spacing w:after="160" w:line="280" w:lineRule="auto"/>
      </w:pPr>
      <w:rPr>
        <w:rFonts w:ascii="Calibri" w:hAnsi="Calibri"/>
      </w:rPr>
    </w:lvl>
    <w:lvl w:ilvl="2">
      <w:start w:val="1"/>
      <w:numFmt w:val="bullet"/>
      <w:lvlText w:val="-"/>
      <w:lvlJc w:val="left"/>
      <w:pPr>
        <w:tabs>
          <w:tab w:val="num" w:pos="1440"/>
        </w:tabs>
        <w:ind w:left="1440" w:hanging="360"/>
        <w:spacing w:after="160" w:line="280" w:lineRule="auto"/>
      </w:pPr>
      <w:rPr>
        <w:rFonts w:ascii="Calibri" w:hAnsi="Calibri"/>
      </w:rPr>
    </w:lvl>
  </w:abstract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50" w:lineRule="auto"/>
    </w:pPr>
    <w:rPr>
      <w:rFonts w:ascii="Calibri" w:hAnsi="Calibri"/>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40" w:line="252" w:lineRule="auto"/>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aisson.sh/" TargetMode="External"/><Relationship Id="rId12" Type="http://schemas.openxmlformats.org/officeDocument/2006/relationships/hyperlink" Target="https://caisson.sh/docs" TargetMode="External"/><Relationship Id="rId13" Type="http://schemas.openxmlformats.org/officeDocument/2006/relationships/hyperlink" Target="https://caisson.sh/legal/license" TargetMode="External"/><Relationship Id="rId14" Type="http://schemas.openxmlformats.org/officeDocument/2006/relationships/hyperlink" Target="https://registry.caisson.sh/index.json" TargetMode="External"/><Relationship Id="rId15" Type="http://schemas.openxmlformats.org/officeDocument/2006/relationships/hyperlink" Target="https://github.com/caisson-sh/caisson-oss" TargetMode="External"/><Relationship Id="rId16" Type="http://schemas.openxmlformats.org/officeDocument/2006/relationships/hyperlink" Target="https://sos.ga.gov/page/joint-secretary-general-provisions-and-proposed-rules" TargetMode="External"/><Relationship Id="rId17" Type="http://schemas.openxmlformats.org/officeDocument/2006/relationships/hyperlink" Target="https://sos.ga.gov/how-to-guide/how-file-annual-registration" TargetMode="External"/><Relationship Id="rId18" Type="http://schemas.openxmlformats.org/officeDocument/2006/relationships/hyperlink" Target="https://rules.sos.ga.gov/gac/590-7-21" TargetMode="External"/><Relationship Id="rId19" Type="http://schemas.openxmlformats.org/officeDocument/2006/relationships/hyperlink" Target="https://www.legis.ga.gov/api/document/docs/default-source/legislative-counsel-document-library/sumdoc2026-edit.pdf?sfvrsn=6257533e_2" TargetMode="External"/><Relationship Id="rId20" Type="http://schemas.openxmlformats.org/officeDocument/2006/relationships/hyperlink" Target="https://gov.georgia.gov/document/2026-signed-legislation/hb-1185/download" TargetMode="External"/><Relationship Id="rId21" Type="http://schemas.openxmlformats.org/officeDocument/2006/relationships/hyperlink" Target="https://law.justia.com/codes/georgia/title-14/chapter-11/article-1/section-14-11-101/" TargetMode="External"/><Relationship Id="rId22" Type="http://schemas.openxmlformats.org/officeDocument/2006/relationships/hyperlink" Target="https://law.justia.com/codes/georgia/title-14/chapter-11/article-2/section-14-11-203/" TargetMode="External"/><Relationship Id="rId23" Type="http://schemas.openxmlformats.org/officeDocument/2006/relationships/hyperlink" Target="https://law.justia.com/codes/georgia/title-14/chapter-11/article-3/section-14-11-301/" TargetMode="External"/><Relationship Id="rId24" Type="http://schemas.openxmlformats.org/officeDocument/2006/relationships/hyperlink" Target="https://law.justia.com/codes/georgia/title-14/chapter-11/article-3/section-14-11-304/" TargetMode="External"/><Relationship Id="rId25" Type="http://schemas.openxmlformats.org/officeDocument/2006/relationships/hyperlink" Target="https://law.justia.com/codes/georgia/title-14/chapter-11/article-3/section-14-11-308/" TargetMode="External"/><Relationship Id="rId26" Type="http://schemas.openxmlformats.org/officeDocument/2006/relationships/hyperlink" Target="https://law.justia.com/codes/georgia/title-14/chapter-11/article-5/section-14-11-501/" TargetMode="External"/><Relationship Id="rId27" Type="http://schemas.openxmlformats.org/officeDocument/2006/relationships/hyperlink" Target="https://law.justia.com/codes/georgia/title-14/chapter-11/article-5/section-14-11-502/" TargetMode="External"/><Relationship Id="rId28" Type="http://schemas.openxmlformats.org/officeDocument/2006/relationships/hyperlink" Target="https://law.justia.com/codes/georgia/title-14/chapter-11/article-5/section-14-11-503/" TargetMode="External"/><Relationship Id="rId29" Type="http://schemas.openxmlformats.org/officeDocument/2006/relationships/hyperlink" Target="https://law.justia.com/codes/georgia/title-14/chapter-11/article-5/section-14-11-505/" TargetMode="External"/><Relationship Id="rId30" Type="http://schemas.openxmlformats.org/officeDocument/2006/relationships/hyperlink" Target="https://law.justia.com/codes/georgia/title-14/chapter-11/article-5/section-14-11-506/" TargetMode="External"/><Relationship Id="rId31" Type="http://schemas.openxmlformats.org/officeDocument/2006/relationships/hyperlink" Target="https://law.justia.com/codes/georgia/title-14/chapter-11/article-6/section-14-11-601-1/" TargetMode="External"/><Relationship Id="rId32" Type="http://schemas.openxmlformats.org/officeDocument/2006/relationships/hyperlink" Target="https://law.justia.com/codes/georgia/title-14/chapter-11/article-6/section-14-11-602/" TargetMode="External"/><Relationship Id="rId33" Type="http://schemas.openxmlformats.org/officeDocument/2006/relationships/hyperlink" Target="https://law.justia.com/codes/georgia/title-14/chapter-11/article-11/section-14-11-1107/" TargetMode="External"/><Relationship Id="rId34" Type="http://schemas.openxmlformats.org/officeDocument/2006/relationships/hyperlink" Target="https://law.justia.com/cases/georgia/court-of-appeals/2017/a16a1946.html" TargetMode="External"/><Relationship Id="rId35" Type="http://schemas.openxmlformats.org/officeDocument/2006/relationships/hyperlink" Target="https://law.justia.com/cases/georgia/court-of-appeals/2002/a02a1843.html" TargetMode="External"/><Relationship Id="rId36" Type="http://schemas.openxmlformats.org/officeDocument/2006/relationships/hyperlink" Target="https://law.justia.com/codes/georgia/title-53/chapter-12/article-2/section-53-12-20/" TargetMode="External"/><Relationship Id="rId37" Type="http://schemas.openxmlformats.org/officeDocument/2006/relationships/hyperlink" Target="https://law.justia.com/codes/georgia/title-53/chapter-12/article-2/section-53-12-25/" TargetMode="External"/><Relationship Id="rId38" Type="http://schemas.openxmlformats.org/officeDocument/2006/relationships/hyperlink" Target="https://law.justia.com/codes/georgia/title-53/chapter-12/article-3/section-53-12-40/" TargetMode="External"/><Relationship Id="rId39" Type="http://schemas.openxmlformats.org/officeDocument/2006/relationships/hyperlink" Target="https://law.justia.com/codes/georgia/title-53/chapter-12/article-4/section-53-12-61/" TargetMode="External"/><Relationship Id="rId40" Type="http://schemas.openxmlformats.org/officeDocument/2006/relationships/hyperlink" Target="https://law.justia.com/codes/georgia/title-53/chapter-12/article-13/part-1/section-53-12-240/" TargetMode="External"/><Relationship Id="rId41" Type="http://schemas.openxmlformats.org/officeDocument/2006/relationships/hyperlink" Target="https://law.justia.com/codes/georgia/title-53/chapter-12/article-13/part-1/section-53-12-246/" TargetMode="External"/><Relationship Id="rId42" Type="http://schemas.openxmlformats.org/officeDocument/2006/relationships/hyperlink" Target="https://law.justia.com/codes/georgia/title-44/chapter-5/article-4/part-1/section-44-5-80/" TargetMode="External"/><Relationship Id="rId43" Type="http://schemas.openxmlformats.org/officeDocument/2006/relationships/hyperlink" Target="https://law.justia.com/codes/georgia/title-13/chapter-3/article-2/section-13-3-20/" TargetMode="External"/><Relationship Id="rId44" Type="http://schemas.openxmlformats.org/officeDocument/2006/relationships/hyperlink" Target="https://law.justia.com/codes/georgia/title-39/chapter-1/section-39-1-1/" TargetMode="External"/><Relationship Id="rId45" Type="http://schemas.openxmlformats.org/officeDocument/2006/relationships/hyperlink" Target="https://law.justia.com/cases/georgia/court-of-appeals/2010/a10a0069-0.html" TargetMode="External"/><Relationship Id="rId46" Type="http://schemas.openxmlformats.org/officeDocument/2006/relationships/hyperlink" Target="https://www.irs.gov/businesses/small-businesses-self-employed/single-member-limited-liability-companies" TargetMode="External"/><Relationship Id="rId47" Type="http://schemas.openxmlformats.org/officeDocument/2006/relationships/hyperlink" Target="https://www.irs.gov/instructions/i1041" TargetMode="External"/><Relationship Id="rId48" Type="http://schemas.openxmlformats.org/officeDocument/2006/relationships/hyperlink" Target="https://www.irs.gov/instructions/i709" TargetMode="External"/><Relationship Id="rId49" Type="http://schemas.openxmlformats.org/officeDocument/2006/relationships/hyperlink" Target="https://www.govinfo.gov/content/pkg/CFR-2023-title26-vol16/pdf/CFR-2023-title26-vol16-sec25-2503-3.pdf" TargetMode="External"/><Relationship Id="rId50" Type="http://schemas.openxmlformats.org/officeDocument/2006/relationships/hyperlink" Target="https://www.govinfo.gov/content/pkg/CFR-2024-title26-vol16/pdf/CFR-2024-title26-vol16-sec25-2511-2.pdf" TargetMode="External"/><Relationship Id="rId51" Type="http://schemas.openxmlformats.org/officeDocument/2006/relationships/hyperlink" Target="https://www.irs.gov/irb/2004-27_IRB" TargetMode="External"/><Relationship Id="rId52" Type="http://schemas.openxmlformats.org/officeDocument/2006/relationships/hyperlink" Target="https://uscode.house.gov/view.xhtml?edition=2023&amp;num=0&amp;req=granuleid%3AUSC-2023-title26-section678" TargetMode="External"/><Relationship Id="rId53" Type="http://schemas.openxmlformats.org/officeDocument/2006/relationships/hyperlink" Target="https://www.irs.gov/businesses/small-businesses-self-employed/family-employees" TargetMode="External"/><Relationship Id="rId54" Type="http://schemas.openxmlformats.org/officeDocument/2006/relationships/hyperlink" Target="https://www.irs.gov/irb/2011-50_IRB" TargetMode="External"/><Relationship Id="rId55" Type="http://schemas.openxmlformats.org/officeDocument/2006/relationships/hyperlink" Target="https://dol.georgia.gov/child-labor-work-hour-restrictions" TargetMode="External"/><Relationship Id="rId56" Type="http://schemas.openxmlformats.org/officeDocument/2006/relationships/hyperlink" Target="https://dol.georgia.gov/child-labor-hazardous-occupations" TargetMode="External"/><Relationship Id="rId57" Type="http://schemas.openxmlformats.org/officeDocument/2006/relationships/hyperlink" Target="https://www.copyright.gov/title17/92chap2.html" TargetMode="External"/><Relationship Id="rId58" Type="http://schemas.openxmlformats.org/officeDocument/2006/relationships/hyperlink" Target="https://www.copyright.gov/circs/circ30.pdf" TargetMode="External"/><Relationship Id="rId59" Type="http://schemas.openxmlformats.org/officeDocument/2006/relationships/hyperlink" Target="https://www.fincen.gov/boi/Reference-materials" TargetMode="External"/><Relationship Id="rId60" Type="http://schemas.openxmlformats.org/officeDocument/2006/relationships/hyperlink" Target="https://mercury.com/legal/terms" TargetMode="External"/><Relationship Id="rId61" Type="http://schemas.openxmlformats.org/officeDocument/2006/relationships/hyperlink" Target="https://support.mercury.com/hc/en-us/articles/28768978787860-Managing-roles-and-permissions" TargetMode="External"/><Relationship Id="rId62" Type="http://schemas.openxmlformats.org/officeDocument/2006/relationships/hyperlink" Target="https://www.paddle.com/help/start/account-verification/what-is-business-verification" TargetMode="External"/><Relationship Id="rId63" Type="http://schemas.openxmlformats.org/officeDocument/2006/relationships/hyperlink" Target="https://www.paddle.com/legal/terms" TargetMode="External"/><Relationship Id="rId64" Type="http://schemas.openxmlformats.org/officeDocument/2006/relationships/hyperlink" Target="https://www.paddle.com/legal/buyer-terms" TargetMode="External"/><Relationship Id="rId65" Type="http://schemas.openxmlformats.org/officeDocument/2006/relationships/hyperlink" Target="https://www.paddle.com/legal/refund-policy" TargetMode="External"/><Relationship Id="rId66" Type="http://schemas.openxmlformats.org/officeDocument/2006/relationships/hyperlink" Target="https://www.bis.gov/learn-support/encryption-controls" TargetMode="External"/><Relationship Id="rId67" Type="http://schemas.openxmlformats.org/officeDocument/2006/relationships/hyperlink" Target="https://ofac.treasury.gov/sanctions-programs-and-country-information/where-is-ofacs-country-list-what-countries-do-i-need-to-worry-about-in-terms-of-us-san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Caisson Software LLC</dc:title>
  <dc:subject>Present ownership, trust structure, governance, succession, IP, and employment</dc:subject>
  <dc:creator/>
  <cp:keywords>Caisson Software LLC; draft; attorney review; CPA review</cp:keywords>
  <dc:description>generated by python-docx</dc:description>
  <cp:lastModifiedBy/>
  <cp:revision>1</cp:revision>
  <dcterms:created xsi:type="dcterms:W3CDTF">2013-12-23T23:15:00Z</dcterms:created>
  <dcterms:modified xsi:type="dcterms:W3CDTF">2013-12-23T23:15:00Z</dcterms:modified>
  <cp:category>Confidential attorney/CPA discussion draft</cp:category>
</cp:coreProperties>
</file>