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ind w:left="120" w:right="120"/>
        <w:jc w:val="center"/>
        <w:shd w:fill="9B1C1C"/>
      </w:pPr>
      <w:r>
        <w:rPr>
          <w:rFonts w:ascii="Calibri" w:hAnsi="Calibri"/>
          <w:b/>
          <w:color w:val="FFFFFF"/>
          <w:sz w:val="17"/>
        </w:rPr>
        <w:t>DRAFT FOR DISCUSSION - NOT FOR SIGNATURE OR FILING - ATTORNEY/CPA REVIEW REQUIRED</w:t>
      </w:r>
    </w:p>
    <w:p>
      <w:pPr>
        <w:spacing w:before="80" w:after="40"/>
      </w:pPr>
      <w:r>
        <w:rPr>
          <w:rFonts w:ascii="Calibri" w:hAnsi="Calibri"/>
          <w:b/>
          <w:color w:val="1F4D78"/>
          <w:sz w:val="19"/>
        </w:rPr>
        <w:t>ATTORNEY-REDLINE INSTRUMENT SET</w:t>
      </w:r>
    </w:p>
    <w:p>
      <w:pPr>
        <w:spacing w:before="0" w:after="80"/>
      </w:pPr>
      <w:r>
        <w:rPr>
          <w:rFonts w:ascii="Calibri" w:hAnsi="Calibri"/>
          <w:b/>
          <w:color w:val="18324B"/>
          <w:sz w:val="46"/>
        </w:rPr>
        <w:t>Caisson Ownership and Control Drafts</w:t>
      </w:r>
    </w:p>
    <w:p>
      <w:pPr>
        <w:spacing w:before="0" w:after="280"/>
      </w:pPr>
      <w:r>
        <w:rPr>
          <w:rFonts w:ascii="Calibri" w:hAnsi="Calibri"/>
          <w:color w:val="5D6874"/>
          <w:sz w:val="25"/>
        </w:rPr>
        <w:t>Trust, assignment, operating agreement, succession, IP, employment, and age-18 closing documents</w:t>
      </w:r>
    </w:p>
    <w:tbl>
      <w:tblPr>
        <w:tblW w:type="dxa" w:w="9360"/>
        <w:tblLayout w:type="fixed"/>
        <w:tblLook w:firstColumn="1" w:firstRow="1" w:lastColumn="0" w:lastRow="0" w:noHBand="0" w:noVBand="1" w:val="04A0"/>
        <w:jc w:val="left"/>
        <w:tblBorders>
          <w:top w:val="single" w:sz="4" w:color="D7DDE4"/>
          <w:left w:val="single" w:sz="4" w:color="D7DDE4"/>
          <w:bottom w:val="single" w:sz="4" w:color="D7DDE4"/>
          <w:right w:val="single" w:sz="4" w:color="D7DDE4"/>
          <w:insideH w:val="single" w:sz="4" w:color="D7DDE4"/>
          <w:insideV w:val="single" w:sz="4" w:color="D7DDE4"/>
        </w:tblBorders>
        <w:tblInd w:type="dxa" w:w="120"/>
      </w:tblPr>
      <w:tblGrid>
        <w:gridCol w:w="1900"/>
        <w:gridCol w:w="7460"/>
      </w:tblGrid>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 for</w:t>
            </w:r>
          </w:p>
        </w:tc>
        <w:tc>
          <w:tcPr>
            <w:tcW w:type="dxa" w:w="7460"/>
            <w:vAlign w:val="center"/>
            <w:tcMar>
              <w:top w:w="80" w:type="dxa"/>
              <w:bottom w:w="80" w:type="dxa"/>
              <w:start w:w="120" w:type="dxa"/>
              <w:end w:w="120" w:type="dxa"/>
            </w:tcMar>
          </w:tcPr>
          <w:p>
            <w:pPr>
              <w:pStyle w:val="TableText"/>
            </w:pPr>
            <w:r>
              <w:rPr>
                <w:rFonts w:ascii="Calibri" w:hAnsi="Calibri"/>
                <w:b w:val="0"/>
                <w:sz w:val="18"/>
              </w:rPr>
              <w:t>Georgia counsel - drafting and enforceability review</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w:t>
            </w:r>
          </w:p>
        </w:tc>
        <w:tc>
          <w:tcPr>
            <w:tcW w:type="dxa" w:w="7460"/>
            <w:vAlign w:val="center"/>
            <w:tcMar>
              <w:top w:w="80" w:type="dxa"/>
              <w:bottom w:w="80" w:type="dxa"/>
              <w:start w:w="120" w:type="dxa"/>
              <w:end w:w="120" w:type="dxa"/>
            </w:tcMar>
          </w:tcPr>
          <w:p>
            <w:pPr>
              <w:pStyle w:val="TableText"/>
            </w:pPr>
            <w:r>
              <w:rPr>
                <w:rFonts w:ascii="Calibri" w:hAnsi="Calibri"/>
                <w:b w:val="0"/>
                <w:sz w:val="18"/>
              </w:rPr>
              <w:t>July 11, 2026</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Status</w:t>
            </w:r>
          </w:p>
        </w:tc>
        <w:tc>
          <w:tcPr>
            <w:tcW w:type="dxa" w:w="7460"/>
            <w:vAlign w:val="center"/>
            <w:tcMar>
              <w:top w:w="80" w:type="dxa"/>
              <w:bottom w:w="80" w:type="dxa"/>
              <w:start w:w="120" w:type="dxa"/>
              <w:end w:w="120" w:type="dxa"/>
            </w:tcMar>
          </w:tcPr>
          <w:p>
            <w:pPr>
              <w:pStyle w:val="TableText"/>
            </w:pPr>
            <w:r>
              <w:rPr>
                <w:rFonts w:ascii="Calibri" w:hAnsi="Calibri"/>
                <w:b w:val="0"/>
                <w:sz w:val="18"/>
              </w:rPr>
              <w:t>Substantially complete discussion drafts</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Governing baseline</w:t>
            </w:r>
          </w:p>
        </w:tc>
        <w:tc>
          <w:tcPr>
            <w:tcW w:type="dxa" w:w="7460"/>
            <w:vAlign w:val="center"/>
            <w:tcMar>
              <w:top w:w="80" w:type="dxa"/>
              <w:bottom w:w="80" w:type="dxa"/>
              <w:start w:w="120" w:type="dxa"/>
              <w:end w:w="120" w:type="dxa"/>
            </w:tcMar>
          </w:tcPr>
          <w:p>
            <w:pPr>
              <w:pStyle w:val="TableText"/>
            </w:pPr>
            <w:r>
              <w:rPr>
                <w:rFonts w:ascii="Calibri" w:hAnsi="Calibri"/>
                <w:b w:val="0"/>
                <w:sz w:val="18"/>
              </w:rPr>
              <w:t>Georgia law; counsel to confirm trust jurisdiction and family-law effects</w:t>
            </w:r>
          </w:p>
        </w:tc>
      </w:tr>
    </w:tbl>
    <w:p>
      <w:pPr>
        <w:spacing w:after="40"/>
      </w:pPr>
    </w:p>
    <w:p>
      <w:pPr>
        <w:spacing w:before="40" w:after="160"/>
        <w:pBdr>
          <w:bottom w:val="single" w:sz="10" w:space="2" w:color="1F4D78"/>
        </w:pBdr>
      </w:pP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r>
        <w:rPr>
          <w:rFonts w:ascii="Calibri" w:hAnsi="Calibri"/>
          <w:b w:val="0"/>
          <w:sz w:val="19"/>
        </w:rPr>
        <w:t xml:space="preserve">  This document is a drafting aid for licensed Georgia counsel. It is not legal advice, an executed trust, a transfer, an operating agreement, an employment agreement, a consent, or a company record. Bracketed items require counsel, CPA, family, or record confirmation. Signature and notary blocks are intentionally omitted or disabled. Counsel must resolve representation, conflicts, minor-capacity issues, fiduciary conflicts, tax treatment, valuation, family-law effects, platform requirements, and execution formalities before producing final instruments.</w:t>
      </w:r>
    </w:p>
    <w:p>
      <w:pPr>
        <w:keepLines w:val="0"/>
        <w:widowControl/>
      </w:pPr>
      <w:r>
        <w:rPr>
          <w:rFonts w:ascii="Calibri" w:hAnsi="Calibri"/>
          <w:b/>
          <w:sz w:val="21"/>
        </w:rPr>
        <w:t>Draft date:</w:t>
      </w:r>
      <w:r>
        <w:rPr>
          <w:rFonts w:ascii="Calibri" w:hAnsi="Calibri"/>
          <w:b w:val="0"/>
          <w:sz w:val="21"/>
        </w:rPr>
        <w:t xml:space="preserve"> July 11, 2026 </w:t>
      </w:r>
      <w:r>
        <w:rPr>
          <w:rFonts w:ascii="Calibri" w:hAnsi="Calibri"/>
          <w:b/>
          <w:sz w:val="21"/>
        </w:rPr>
        <w:t>Company:</w:t>
      </w:r>
      <w:r>
        <w:rPr>
          <w:rFonts w:ascii="Calibri" w:hAnsi="Calibri"/>
          <w:b w:val="0"/>
          <w:sz w:val="21"/>
        </w:rPr>
        <w:t xml:space="preserve"> Caisson Software LLC, a Georgia limited liability company (the "Company") </w:t>
      </w:r>
      <w:r>
        <w:rPr>
          <w:rFonts w:ascii="Calibri" w:hAnsi="Calibri"/>
          <w:b/>
          <w:sz w:val="21"/>
        </w:rPr>
        <w:t>Georgia control number:</w:t>
      </w:r>
      <w:r>
        <w:rPr>
          <w:rFonts w:ascii="Calibri" w:hAnsi="Calibri"/>
          <w:b w:val="0"/>
          <w:sz w:val="21"/>
        </w:rPr>
        <w:t xml:space="preserve"> 26147198 </w:t>
      </w:r>
      <w:r>
        <w:rPr>
          <w:rFonts w:ascii="Calibri" w:hAnsi="Calibri"/>
          <w:b/>
          <w:sz w:val="21"/>
        </w:rPr>
        <w:t>Effective organization date:</w:t>
      </w:r>
      <w:r>
        <w:rPr>
          <w:rFonts w:ascii="Calibri" w:hAnsi="Calibri"/>
          <w:b w:val="0"/>
          <w:sz w:val="21"/>
        </w:rPr>
        <w:t xml:space="preserve"> July 6, 2026 </w:t>
      </w:r>
      <w:r>
        <w:rPr>
          <w:rFonts w:ascii="Calibri" w:hAnsi="Calibri"/>
          <w:b/>
          <w:sz w:val="21"/>
        </w:rPr>
        <w:t>Member identified in available records:</w:t>
      </w:r>
      <w:r>
        <w:rPr>
          <w:rFonts w:ascii="Calibri" w:hAnsi="Calibri"/>
          <w:b w:val="0"/>
          <w:sz w:val="21"/>
        </w:rPr>
        <w:t xml:space="preserve"> Lakshmi Delbel, based on the signed organizer resolution; this is not a state-filed ownership record </w:t>
      </w:r>
      <w:r>
        <w:rPr>
          <w:rFonts w:ascii="Calibri" w:hAnsi="Calibri"/>
          <w:b/>
          <w:sz w:val="21"/>
        </w:rPr>
        <w:t>Minor beneficiary and operator:</w:t>
      </w:r>
      <w:r>
        <w:rPr>
          <w:rFonts w:ascii="Calibri" w:hAnsi="Calibri"/>
          <w:b w:val="0"/>
          <w:sz w:val="21"/>
        </w:rPr>
        <w:t xml:space="preserve"> Liam Thadani, born August 19, 2009 </w:t>
      </w:r>
      <w:r>
        <w:rPr>
          <w:rFonts w:ascii="Calibri" w:hAnsi="Calibri"/>
          <w:b/>
          <w:sz w:val="21"/>
        </w:rPr>
        <w:t>Fixed handoff time:</w:t>
      </w:r>
      <w:r>
        <w:rPr>
          <w:rFonts w:ascii="Calibri" w:hAnsi="Calibri"/>
          <w:b w:val="0"/>
          <w:sz w:val="21"/>
        </w:rPr>
        <w:t xml:space="preserve"> August 19, 2027 at 12:01 a.m. Eastern Time (the "Handoff Time")</w:t>
      </w:r>
    </w:p>
    <w:p>
      <w:pPr>
        <w:pStyle w:val="Heading1"/>
        <w:pageBreakBefore w:val="0"/>
      </w:pPr>
      <w:r>
        <w:rPr>
          <w:rFonts w:ascii="Calibri" w:hAnsi="Calibri"/>
          <w:b/>
        </w:rPr>
        <w:t>Drafting controls</w:t>
      </w:r>
    </w:p>
    <w:p>
      <w:pPr>
        <w:widowControl/>
        <w:numPr>
          <w:ilvl w:val="0"/>
          <w:numId w:val="10"/>
        </w:numPr>
      </w:pPr>
      <w:r>
        <w:rPr>
          <w:rFonts w:ascii="Calibri" w:hAnsi="Calibri"/>
          <w:b w:val="0"/>
          <w:sz w:val="20"/>
        </w:rPr>
        <w:t>This set assumes, solely for drafting, the family-selected structure described below. Counsel must determine whether the structure is lawful, enforceable, tax-efficient, and consistent with all relevant family arrangements.</w:t>
      </w:r>
    </w:p>
    <w:p>
      <w:pPr>
        <w:widowControl/>
        <w:numPr>
          <w:ilvl w:val="0"/>
          <w:numId w:val="10"/>
        </w:numPr>
      </w:pPr>
      <w:r>
        <w:rPr>
          <w:rFonts w:ascii="Calibri" w:hAnsi="Calibri"/>
          <w:b w:val="0"/>
          <w:sz w:val="20"/>
        </w:rPr>
        <w:t>After a valid coordinated closing, the proposed trust is intended to be irrevocable and Liam is intended to hold its sole current beneficial interest while living before the Handoff Time, presently vested subject to complete divestment if he dies before the Handoff Time. Trust-law beneficial ownership, federal income-tax ownership, gift-tax treatment, state-law membership, and platform-defined beneficial ownership remain separate determinations. No person may revoke the trust, redirect the beneficial interest, substitute another beneficiary, postpone the Handoff Time, or divert Company sale proceeds away from the trust.</w:t>
      </w:r>
    </w:p>
    <w:p>
      <w:pPr>
        <w:widowControl/>
        <w:numPr>
          <w:ilvl w:val="0"/>
          <w:numId w:val="10"/>
        </w:numPr>
      </w:pPr>
      <w:r>
        <w:rPr>
          <w:rFonts w:ascii="Calibri" w:hAnsi="Calibri"/>
          <w:b w:val="0"/>
          <w:sz w:val="20"/>
        </w:rPr>
        <w:t>Lakshmi is proposed as settlor, initial trustee, and initial Company manager. Vik Thadani, Liam's father, [COUNSEL: insert address and confirm adult capacity] is proposed as successor trustee and successor manager.</w:t>
      </w:r>
    </w:p>
    <w:p>
      <w:pPr>
        <w:widowControl/>
        <w:numPr>
          <w:ilvl w:val="0"/>
          <w:numId w:val="10"/>
        </w:numPr>
      </w:pPr>
      <w:r>
        <w:rPr>
          <w:rFonts w:ascii="Calibri" w:hAnsi="Calibri"/>
          <w:b w:val="0"/>
          <w:sz w:val="20"/>
        </w:rPr>
        <w:t>If both named fiduciaries cannot serve, the documents use a professional fiduciary and court-appointment fallback that cannot change the fixed economics.</w:t>
      </w:r>
    </w:p>
    <w:p>
      <w:pPr>
        <w:widowControl/>
        <w:numPr>
          <w:ilvl w:val="0"/>
          <w:numId w:val="10"/>
        </w:numPr>
      </w:pPr>
      <w:r>
        <w:rPr>
          <w:rFonts w:ascii="Calibri" w:hAnsi="Calibri"/>
          <w:b w:val="0"/>
          <w:sz w:val="20"/>
        </w:rPr>
        <w:t>Lakshmi, as trustee and manager, has broad good-faith business discretion, including discretion to retain, finance, restructure, or sell the Company. Any cash, securities, earnout, rollover equity, note, escrow release, indemnity recovery, or other consideration received for the trust-owned Company interest remains trust property.</w:t>
      </w:r>
    </w:p>
    <w:p>
      <w:pPr>
        <w:widowControl/>
        <w:numPr>
          <w:ilvl w:val="0"/>
          <w:numId w:val="10"/>
        </w:numPr>
      </w:pPr>
      <w:r>
        <w:rPr>
          <w:rFonts w:ascii="Calibri" w:hAnsi="Calibri"/>
          <w:b w:val="0"/>
          <w:sz w:val="20"/>
        </w:rPr>
        <w:t>If Liam dies before the Handoff Time, the trust interest shifts to Lakshmi as provided in Instrument 2. [COUNSEL: address the case in which Lakshmi does not survive Liam and simultaneous-death rules; do not infer a substitute recipient.]</w:t>
      </w:r>
    </w:p>
    <w:p>
      <w:pPr>
        <w:widowControl/>
        <w:numPr>
          <w:ilvl w:val="0"/>
          <w:numId w:val="10"/>
        </w:numPr>
      </w:pPr>
      <w:r>
        <w:rPr>
          <w:rFonts w:ascii="Calibri" w:hAnsi="Calibri"/>
          <w:b w:val="0"/>
          <w:sz w:val="20"/>
        </w:rPr>
        <w:t>The Handoff Time remains August 19, 2027 at 12:01 a.m. Eastern Time. Do not infer contractual capacity on August 18 solely from age-computation cases arising in other statutory contexts. Unless counsel gives a written opinion supporting an earlier time, Liam's adult joinders should be signed no earlier than August 19, 2027 while the documents separately preserve the intended fixed economic trigger to the maximum lawful extent.</w:t>
      </w:r>
    </w:p>
    <w:p>
      <w:pPr>
        <w:widowControl/>
        <w:numPr>
          <w:ilvl w:val="0"/>
          <w:numId w:val="10"/>
        </w:numPr>
      </w:pPr>
      <w:r>
        <w:rPr>
          <w:rFonts w:ascii="Calibri" w:hAnsi="Calibri"/>
          <w:b w:val="0"/>
          <w:sz w:val="20"/>
        </w:rPr>
        <w:t>The trust owns the Company interest. The Company, not the trust or its beneficiary, should own Company intellectual property after a valid IP transfer.</w:t>
      </w:r>
    </w:p>
    <w:p>
      <w:pPr>
        <w:widowControl/>
        <w:numPr>
          <w:ilvl w:val="0"/>
          <w:numId w:val="10"/>
        </w:numPr>
      </w:pPr>
      <w:r>
        <w:rPr>
          <w:rFonts w:ascii="Calibri" w:hAnsi="Calibri"/>
          <w:b w:val="0"/>
          <w:sz w:val="20"/>
        </w:rPr>
        <w:t>This draft does not invent or assume an assignment from GridWork Digital LLC. The parties have identified that name as a stale copyright notice slated for correction. Counsel must verify the record and title before any correction or public source release.</w:t>
      </w:r>
    </w:p>
    <w:p>
      <w:pPr>
        <w:widowControl/>
        <w:numPr>
          <w:ilvl w:val="0"/>
          <w:numId w:val="10"/>
        </w:numPr>
      </w:pPr>
      <w:r>
        <w:rPr>
          <w:rFonts w:ascii="Calibri" w:hAnsi="Calibri"/>
          <w:b w:val="0"/>
          <w:sz w:val="20"/>
        </w:rPr>
        <w:t>Addresses, consideration, tax clauses, valuation, independent-counsel mechanics, advisor identities, compensation, thresholds, and execution formalities remain bracketed.</w:t>
      </w:r>
    </w:p>
    <w:p>
      <w:pPr>
        <w:widowControl/>
        <w:numPr>
          <w:ilvl w:val="0"/>
          <w:numId w:val="10"/>
        </w:numPr>
      </w:pPr>
      <w:r>
        <w:rPr>
          <w:rFonts w:ascii="Calibri" w:hAnsi="Calibri"/>
          <w:b w:val="0"/>
          <w:sz w:val="20"/>
        </w:rPr>
        <w:t>Vik is reported to be the current client of the family's lawyer and the CPA's only current client. This set does not assume that either advisor represents Caisson, Lakshmi, Liam, or the Trust. Counsel must establish engagement, conflict, consent, communication, recipient, and confidentiality boundaries before substantive use.</w:t>
      </w:r>
    </w:p>
    <w:p>
      <w:pPr>
        <w:pStyle w:val="Heading1"/>
        <w:pageBreakBefore w:val="0"/>
      </w:pPr>
      <w:r>
        <w:rPr>
          <w:rFonts w:ascii="Calibri" w:hAnsi="Calibri"/>
          <w:b/>
        </w:rPr>
        <w:t>Proposed sequence</w:t>
      </w:r>
    </w:p>
    <w:p>
      <w:pPr>
        <w:widowControl/>
        <w:numPr>
          <w:ilvl w:val="0"/>
          <w:numId w:val="11"/>
        </w:numPr>
      </w:pPr>
      <w:r>
        <w:rPr>
          <w:rFonts w:ascii="Calibri" w:hAnsi="Calibri"/>
          <w:b w:val="0"/>
          <w:sz w:val="20"/>
        </w:rPr>
        <w:t>Counsel confirms clients, conflicts, independent advice, tax review, and whether Caisson, Lakshmi, Liam, or the Trust requires a separate engagement.</w:t>
      </w:r>
    </w:p>
    <w:p>
      <w:pPr>
        <w:widowControl/>
        <w:numPr>
          <w:ilvl w:val="0"/>
          <w:numId w:val="11"/>
        </w:numPr>
      </w:pPr>
      <w:r>
        <w:rPr>
          <w:rFonts w:ascii="Calibri" w:hAnsi="Calibri"/>
          <w:b w:val="0"/>
          <w:sz w:val="20"/>
        </w:rPr>
        <w:t>Instrument 1 selectively ratifies formation actions and supersedes uncertain governance text without ratifying unknown or inaccurate prior acts.</w:t>
      </w:r>
    </w:p>
    <w:p>
      <w:pPr>
        <w:widowControl/>
        <w:numPr>
          <w:ilvl w:val="0"/>
          <w:numId w:val="11"/>
        </w:numPr>
      </w:pPr>
      <w:r>
        <w:rPr>
          <w:rFonts w:ascii="Calibri" w:hAnsi="Calibri"/>
          <w:b w:val="0"/>
          <w:sz w:val="20"/>
        </w:rPr>
        <w:t>Instruments 2 through 6 close as one coordinated transaction with a stated order of effectiveness: the Trust is created; Lakshmi individually adopts Instrument 5 effective upon trustee admission; Instrument 3 assigns the interest; Instrument 4 admits the trustee; the trustee accepts and joins or ratifies Instrument 5; the ledger updates; the manager-managed articles amendment becomes effective; and the trustee appoints Lakshmi manager.</w:t>
      </w:r>
    </w:p>
    <w:p>
      <w:pPr>
        <w:widowControl/>
        <w:numPr>
          <w:ilvl w:val="0"/>
          <w:numId w:val="11"/>
        </w:numPr>
      </w:pPr>
      <w:r>
        <w:rPr>
          <w:rFonts w:ascii="Calibri" w:hAnsi="Calibri"/>
          <w:b w:val="0"/>
          <w:sz w:val="20"/>
        </w:rPr>
        <w:t>No instrument creates an interim period with an economic assignee but no intended member, or a manager certificate before manager-management authority is effective.</w:t>
      </w:r>
    </w:p>
    <w:p>
      <w:pPr>
        <w:widowControl/>
        <w:numPr>
          <w:ilvl w:val="0"/>
          <w:numId w:val="11"/>
        </w:numPr>
      </w:pPr>
      <w:r>
        <w:rPr>
          <w:rFonts w:ascii="Calibri" w:hAnsi="Calibri"/>
          <w:b w:val="0"/>
          <w:sz w:val="20"/>
        </w:rPr>
        <w:t>Instruments 7 and 8 establish succession and the staged future closing, including Liam's separate adult joinder only after counsel confirms contractual capacity.</w:t>
      </w:r>
    </w:p>
    <w:p>
      <w:pPr>
        <w:widowControl/>
        <w:numPr>
          <w:ilvl w:val="0"/>
          <w:numId w:val="11"/>
        </w:numPr>
      </w:pPr>
      <w:r>
        <w:rPr>
          <w:rFonts w:ascii="Calibri" w:hAnsi="Calibri"/>
          <w:b w:val="0"/>
          <w:sz w:val="20"/>
        </w:rPr>
        <w:t>Instrument 9 addresses historical IP and the public-record mismatch, with a separate adult confirmation after majority.</w:t>
      </w:r>
    </w:p>
    <w:p>
      <w:pPr>
        <w:widowControl/>
        <w:numPr>
          <w:ilvl w:val="0"/>
          <w:numId w:val="11"/>
        </w:numPr>
      </w:pPr>
      <w:r>
        <w:rPr>
          <w:rFonts w:ascii="Calibri" w:hAnsi="Calibri"/>
          <w:b w:val="0"/>
          <w:sz w:val="20"/>
        </w:rPr>
        <w:t>Instrument 10 governs future employment and future work, with a separate adult confirmation after majority.</w:t>
      </w:r>
    </w:p>
    <w:p>
      <w:pPr>
        <w:pStyle w:val="Heading1"/>
        <w:pageBreakBefore/>
      </w:pPr>
      <w:r>
        <w:rPr>
          <w:rFonts w:ascii="Calibri" w:hAnsi="Calibri"/>
          <w:b/>
        </w:rPr>
        <w:t>Instrument 1 - Selective Ratification and Superseding Sole Member Action</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Written action of the sole member</w:t>
      </w:r>
    </w:p>
    <w:p>
      <w:pPr>
        <w:keepLines w:val="0"/>
        <w:widowControl/>
      </w:pPr>
      <w:r>
        <w:rPr>
          <w:rFonts w:ascii="Calibri" w:hAnsi="Calibri"/>
          <w:b w:val="0"/>
          <w:sz w:val="21"/>
        </w:rPr>
        <w:t>The undersigned is identified as the Company's sole member in the signed organizer resolution and related available records; Georgia's public formation record does not state LLC ownership. Acting only after counsel confirms her authority and the legal effect of the prior organizer action, Lakshmi Delbel would adopt the following resolutions as of [COUNSEL: effective date and time].</w:t>
      </w:r>
    </w:p>
    <w:p>
      <w:pPr>
        <w:pStyle w:val="Heading1"/>
        <w:pageBreakBefore w:val="0"/>
      </w:pPr>
      <w:r>
        <w:rPr>
          <w:rFonts w:ascii="Calibri" w:hAnsi="Calibri"/>
          <w:b/>
        </w:rPr>
        <w:t>Recitals</w:t>
      </w:r>
    </w:p>
    <w:p>
      <w:pPr>
        <w:keepLines w:val="0"/>
        <w:widowControl/>
      </w:pPr>
      <w:r>
        <w:rPr>
          <w:rFonts w:ascii="Calibri" w:hAnsi="Calibri"/>
          <w:b w:val="0"/>
          <w:sz w:val="21"/>
        </w:rPr>
        <w:t>A. The Company was organized under Georgia law effective July 6, 2026 under control number 26147198. The Georgia formation and organizer records remain valid.</w:t>
      </w:r>
    </w:p>
    <w:p>
      <w:pPr>
        <w:keepLines w:val="0"/>
        <w:widowControl/>
      </w:pPr>
      <w:r>
        <w:rPr>
          <w:rFonts w:ascii="Calibri" w:hAnsi="Calibri"/>
          <w:b w:val="0"/>
          <w:sz w:val="21"/>
        </w:rPr>
        <w:t>B. Northwest Registered Agent Service, Inc., acting through Nat Smith as organizer, signed initial resolutions dated July 8, 2026. Those resolutions named Lakshmi Delbel as member, relinquished organizer signing authority, and referred to adoption of "general provisions of an operating agreement."</w:t>
      </w:r>
    </w:p>
    <w:p>
      <w:pPr>
        <w:keepLines w:val="0"/>
        <w:widowControl/>
      </w:pPr>
      <w:r>
        <w:rPr>
          <w:rFonts w:ascii="Calibri" w:hAnsi="Calibri"/>
          <w:b w:val="0"/>
          <w:sz w:val="21"/>
        </w:rPr>
        <w:t>C. A prefilled vendor operating-agreement form exists. Lakshmi never signed or dated it, no member-signed operating agreement has been located, and the form was not filed with Georgia. It contains the Company name, Lakshmi's name, a stated 100 percent interest, and an address, but its member-adoption date, member signature, contribution schedule, capital value, and bank-resolution signatures are blank.</w:t>
      </w:r>
    </w:p>
    <w:p>
      <w:pPr>
        <w:keepLines w:val="0"/>
        <w:widowControl/>
      </w:pPr>
      <w:r>
        <w:rPr>
          <w:rFonts w:ascii="Calibri" w:hAnsi="Calibri"/>
          <w:b w:val="0"/>
          <w:sz w:val="21"/>
        </w:rPr>
        <w:t>D. The member wants to preserve valid formation actions while replacing uncertain, generic, incomplete, or inconsistent governance text with a coordinated instrument set.</w:t>
      </w:r>
    </w:p>
    <w:p>
      <w:pPr>
        <w:keepLines w:val="0"/>
        <w:widowControl/>
      </w:pPr>
      <w:r>
        <w:rPr>
          <w:rFonts w:ascii="Calibri" w:hAnsi="Calibri"/>
          <w:b w:val="0"/>
          <w:sz w:val="21"/>
        </w:rPr>
        <w:t>E. The member does not intend this action to ratify an unknown contract, inaccurate public statement, unauthorized IP grant, unreviewed expense, tax classification, platform submission, or other act not expressly listed below.</w:t>
      </w:r>
    </w:p>
    <w:p>
      <w:pPr>
        <w:pStyle w:val="Heading1"/>
        <w:pageBreakBefore w:val="0"/>
      </w:pPr>
      <w:r>
        <w:rPr>
          <w:rFonts w:ascii="Calibri" w:hAnsi="Calibri"/>
          <w:b/>
        </w:rPr>
        <w:t>Resolutions</w:t>
      </w:r>
    </w:p>
    <w:p>
      <w:pPr>
        <w:pStyle w:val="Heading2"/>
        <w:pageBreakBefore w:val="0"/>
      </w:pPr>
      <w:r>
        <w:rPr>
          <w:rFonts w:ascii="Calibri" w:hAnsi="Calibri"/>
          <w:b/>
        </w:rPr>
        <w:t>1. Selective ratification of formation actions</w:t>
      </w:r>
    </w:p>
    <w:p>
      <w:pPr>
        <w:keepLines w:val="0"/>
        <w:widowControl/>
      </w:pPr>
      <w:r>
        <w:rPr>
          <w:rFonts w:ascii="Calibri" w:hAnsi="Calibri"/>
          <w:b w:val="0"/>
          <w:sz w:val="21"/>
        </w:rPr>
        <w:t>The following acts are ratified solely to the extent lawful and accurately reflected in the attached records:</w:t>
      </w:r>
    </w:p>
    <w:p>
      <w:pPr>
        <w:widowControl/>
        <w:numPr>
          <w:ilvl w:val="0"/>
          <w:numId w:val="12"/>
        </w:numPr>
      </w:pPr>
      <w:r>
        <w:rPr>
          <w:rFonts w:ascii="Calibri" w:hAnsi="Calibri"/>
          <w:b w:val="0"/>
          <w:sz w:val="20"/>
        </w:rPr>
        <w:t>filing the Company's articles of organization effective July 6, 2026;</w:t>
      </w:r>
    </w:p>
    <w:p>
      <w:pPr>
        <w:widowControl/>
        <w:numPr>
          <w:ilvl w:val="0"/>
          <w:numId w:val="12"/>
        </w:numPr>
      </w:pPr>
      <w:r>
        <w:rPr>
          <w:rFonts w:ascii="Calibri" w:hAnsi="Calibri"/>
          <w:b w:val="0"/>
          <w:sz w:val="20"/>
        </w:rPr>
        <w:t>obtaining the certificate of organization and Georgia control number 26147198;</w:t>
      </w:r>
    </w:p>
    <w:p>
      <w:pPr>
        <w:widowControl/>
        <w:numPr>
          <w:ilvl w:val="0"/>
          <w:numId w:val="12"/>
        </w:numPr>
      </w:pPr>
      <w:r>
        <w:rPr>
          <w:rFonts w:ascii="Calibri" w:hAnsi="Calibri"/>
          <w:b w:val="0"/>
          <w:sz w:val="20"/>
        </w:rPr>
        <w:t>appointing Northwest Registered Agent Service, Inc. as registered agent at the address shown in the formation record;</w:t>
      </w:r>
    </w:p>
    <w:p>
      <w:pPr>
        <w:widowControl/>
        <w:numPr>
          <w:ilvl w:val="0"/>
          <w:numId w:val="12"/>
        </w:numPr>
      </w:pPr>
      <w:r>
        <w:rPr>
          <w:rFonts w:ascii="Calibri" w:hAnsi="Calibri"/>
          <w:b w:val="0"/>
          <w:sz w:val="20"/>
        </w:rPr>
        <w:t>the organizer's designation of Lakshmi Delbel as the initial member and relinquishment of organizer authority;</w:t>
      </w:r>
    </w:p>
    <w:p>
      <w:pPr>
        <w:widowControl/>
        <w:numPr>
          <w:ilvl w:val="0"/>
          <w:numId w:val="12"/>
        </w:numPr>
      </w:pPr>
      <w:r>
        <w:rPr>
          <w:rFonts w:ascii="Calibri" w:hAnsi="Calibri"/>
          <w:b w:val="0"/>
          <w:sz w:val="20"/>
        </w:rPr>
        <w:t>applying for and obtaining the Company's EIN; and</w:t>
      </w:r>
    </w:p>
    <w:p>
      <w:pPr>
        <w:widowControl/>
        <w:numPr>
          <w:ilvl w:val="0"/>
          <w:numId w:val="12"/>
        </w:numPr>
      </w:pPr>
      <w:r>
        <w:rPr>
          <w:rFonts w:ascii="Calibri" w:hAnsi="Calibri"/>
          <w:b w:val="0"/>
          <w:sz w:val="20"/>
        </w:rPr>
        <w:t>[COUNSEL: list any additional specific pre-approval actions after reviewing contracts, platform submissions, domain registrations, and bank records].</w:t>
      </w:r>
    </w:p>
    <w:p>
      <w:pPr>
        <w:keepLines w:val="0"/>
        <w:widowControl/>
      </w:pPr>
      <w:r>
        <w:rPr>
          <w:rFonts w:ascii="Calibri" w:hAnsi="Calibri"/>
          <w:b w:val="0"/>
          <w:sz w:val="21"/>
        </w:rPr>
        <w:t>No recital in this action expands the scope of a ratification.</w:t>
      </w:r>
    </w:p>
    <w:p>
      <w:pPr>
        <w:pStyle w:val="Heading2"/>
        <w:pageBreakBefore w:val="0"/>
      </w:pPr>
      <w:r>
        <w:rPr>
          <w:rFonts w:ascii="Calibri" w:hAnsi="Calibri"/>
          <w:b/>
        </w:rPr>
        <w:t>2. Express exclusions from ratification</w:t>
      </w:r>
    </w:p>
    <w:p>
      <w:pPr>
        <w:keepLines w:val="0"/>
        <w:widowControl/>
      </w:pPr>
      <w:r>
        <w:rPr>
          <w:rFonts w:ascii="Calibri" w:hAnsi="Calibri"/>
          <w:b w:val="0"/>
          <w:sz w:val="21"/>
        </w:rPr>
        <w:t>This action does not ratify, adopt, confirm, or make any representation concerning:</w:t>
      </w:r>
    </w:p>
    <w:p>
      <w:pPr>
        <w:widowControl/>
        <w:numPr>
          <w:ilvl w:val="0"/>
          <w:numId w:val="13"/>
        </w:numPr>
      </w:pPr>
      <w:r>
        <w:rPr>
          <w:rFonts w:ascii="Calibri" w:hAnsi="Calibri"/>
          <w:b w:val="0"/>
          <w:sz w:val="20"/>
        </w:rPr>
        <w:t>any unsigned or incomplete vendor operating agreement except as expressly superseded below;</w:t>
      </w:r>
    </w:p>
    <w:p>
      <w:pPr>
        <w:widowControl/>
        <w:numPr>
          <w:ilvl w:val="0"/>
          <w:numId w:val="13"/>
        </w:numPr>
      </w:pPr>
      <w:r>
        <w:rPr>
          <w:rFonts w:ascii="Calibri" w:hAnsi="Calibri"/>
          <w:b w:val="0"/>
          <w:sz w:val="20"/>
        </w:rPr>
        <w:t>any unidentified "general provisions" referenced by the organizer;</w:t>
      </w:r>
    </w:p>
    <w:p>
      <w:pPr>
        <w:widowControl/>
        <w:numPr>
          <w:ilvl w:val="0"/>
          <w:numId w:val="13"/>
        </w:numPr>
      </w:pPr>
      <w:r>
        <w:rPr>
          <w:rFonts w:ascii="Calibri" w:hAnsi="Calibri"/>
          <w:b w:val="0"/>
          <w:sz w:val="20"/>
        </w:rPr>
        <w:t>any assertion that Liam is or was a member, manager, adult signatory, or present legal owner of the Company;</w:t>
      </w:r>
    </w:p>
    <w:p>
      <w:pPr>
        <w:widowControl/>
        <w:numPr>
          <w:ilvl w:val="0"/>
          <w:numId w:val="13"/>
        </w:numPr>
      </w:pPr>
      <w:r>
        <w:rPr>
          <w:rFonts w:ascii="Calibri" w:hAnsi="Calibri"/>
          <w:b w:val="0"/>
          <w:sz w:val="20"/>
        </w:rPr>
        <w:t>any assertion that the Company owns historical intellectual property before completion of a counsel-approved chain-of-title process;</w:t>
      </w:r>
    </w:p>
    <w:p>
      <w:pPr>
        <w:widowControl/>
        <w:numPr>
          <w:ilvl w:val="0"/>
          <w:numId w:val="13"/>
        </w:numPr>
      </w:pPr>
      <w:r>
        <w:rPr>
          <w:rFonts w:ascii="Calibri" w:hAnsi="Calibri"/>
          <w:b w:val="0"/>
          <w:sz w:val="20"/>
        </w:rPr>
        <w:t>any claim that GridWork Digital LLC transferred intellectual property to the Company;</w:t>
      </w:r>
    </w:p>
    <w:p>
      <w:pPr>
        <w:widowControl/>
        <w:numPr>
          <w:ilvl w:val="0"/>
          <w:numId w:val="13"/>
        </w:numPr>
      </w:pPr>
      <w:r>
        <w:rPr>
          <w:rFonts w:ascii="Calibri" w:hAnsi="Calibri"/>
          <w:b w:val="0"/>
          <w:sz w:val="20"/>
        </w:rPr>
        <w:t>any public copyright or open-source notice, including the stale GridWork Digital LLC notice, except an accurate acknowledgement that the notice exists and requires correction after title review;</w:t>
      </w:r>
    </w:p>
    <w:p>
      <w:pPr>
        <w:widowControl/>
        <w:numPr>
          <w:ilvl w:val="0"/>
          <w:numId w:val="13"/>
        </w:numPr>
      </w:pPr>
      <w:r>
        <w:rPr>
          <w:rFonts w:ascii="Calibri" w:hAnsi="Calibri"/>
          <w:b w:val="0"/>
          <w:sz w:val="20"/>
        </w:rPr>
        <w:t>any prior Apache-2.0 grant or other license except to the extent independently valid when made by a person with authority;</w:t>
      </w:r>
    </w:p>
    <w:p>
      <w:pPr>
        <w:widowControl/>
        <w:numPr>
          <w:ilvl w:val="0"/>
          <w:numId w:val="13"/>
        </w:numPr>
      </w:pPr>
      <w:r>
        <w:rPr>
          <w:rFonts w:ascii="Calibri" w:hAnsi="Calibri"/>
          <w:b w:val="0"/>
          <w:sz w:val="20"/>
        </w:rPr>
        <w:t>any Mercury, Paddle, GitHub, npm, Cloudflare, Railway, domain, email, or other platform statement not separately verified;</w:t>
      </w:r>
    </w:p>
    <w:p>
      <w:pPr>
        <w:widowControl/>
        <w:numPr>
          <w:ilvl w:val="0"/>
          <w:numId w:val="13"/>
        </w:numPr>
      </w:pPr>
      <w:r>
        <w:rPr>
          <w:rFonts w:ascii="Calibri" w:hAnsi="Calibri"/>
          <w:b w:val="0"/>
          <w:sz w:val="20"/>
        </w:rPr>
        <w:t>any classification of father-funded or Liam-paid transactions as gifts, loans, contributions, reimbursements, wages, or deductions;</w:t>
      </w:r>
    </w:p>
    <w:p>
      <w:pPr>
        <w:widowControl/>
        <w:numPr>
          <w:ilvl w:val="0"/>
          <w:numId w:val="13"/>
        </w:numPr>
      </w:pPr>
      <w:r>
        <w:rPr>
          <w:rFonts w:ascii="Calibri" w:hAnsi="Calibri"/>
          <w:b w:val="0"/>
          <w:sz w:val="20"/>
        </w:rPr>
        <w:t>any tax election, payroll treatment, valuation, or gift-tax position; or</w:t>
      </w:r>
    </w:p>
    <w:p>
      <w:pPr>
        <w:widowControl/>
        <w:numPr>
          <w:ilvl w:val="0"/>
          <w:numId w:val="13"/>
        </w:numPr>
      </w:pPr>
      <w:r>
        <w:rPr>
          <w:rFonts w:ascii="Calibri" w:hAnsi="Calibri"/>
          <w:b w:val="0"/>
          <w:sz w:val="20"/>
        </w:rPr>
        <w:t>any act listed on Schedule 1-A as reserved or under investigation.</w:t>
      </w:r>
    </w:p>
    <w:p>
      <w:pPr>
        <w:pStyle w:val="Heading2"/>
        <w:pageBreakBefore w:val="0"/>
      </w:pPr>
      <w:r>
        <w:rPr>
          <w:rFonts w:ascii="Calibri" w:hAnsi="Calibri"/>
          <w:b/>
        </w:rPr>
        <w:t>3. Supersession of prior governance provisions</w:t>
      </w:r>
    </w:p>
    <w:p>
      <w:pPr>
        <w:keepLines w:val="0"/>
        <w:widowControl/>
      </w:pPr>
      <w:r>
        <w:rPr>
          <w:rFonts w:ascii="Calibri" w:hAnsi="Calibri"/>
          <w:b w:val="0"/>
          <w:sz w:val="21"/>
        </w:rPr>
        <w:t>Effective upon valid adoption of the final operating agreement in Instrument 5, whether or not a manager-managed articles amendment has yet become effective:</w:t>
      </w:r>
    </w:p>
    <w:p>
      <w:pPr>
        <w:widowControl/>
        <w:numPr>
          <w:ilvl w:val="0"/>
          <w:numId w:val="14"/>
        </w:numPr>
      </w:pPr>
      <w:r>
        <w:rPr>
          <w:rFonts w:ascii="Calibri" w:hAnsi="Calibri"/>
          <w:b w:val="0"/>
          <w:sz w:val="20"/>
        </w:rPr>
        <w:t>the final operating agreement supersedes the vendor form and every prior oral, implied, organizer-adopted, template, or other operating-agreement provision to the fullest extent permitted by law;</w:t>
      </w:r>
    </w:p>
    <w:p>
      <w:pPr>
        <w:widowControl/>
        <w:numPr>
          <w:ilvl w:val="0"/>
          <w:numId w:val="14"/>
        </w:numPr>
      </w:pPr>
      <w:r>
        <w:rPr>
          <w:rFonts w:ascii="Calibri" w:hAnsi="Calibri"/>
          <w:b w:val="0"/>
          <w:sz w:val="20"/>
        </w:rPr>
        <w:t>no unsigned blank, prefilled field, or generic provision remains operative merely because it appears in the Company record book;</w:t>
      </w:r>
    </w:p>
    <w:p>
      <w:pPr>
        <w:widowControl/>
        <w:numPr>
          <w:ilvl w:val="0"/>
          <w:numId w:val="14"/>
        </w:numPr>
      </w:pPr>
      <w:r>
        <w:rPr>
          <w:rFonts w:ascii="Calibri" w:hAnsi="Calibri"/>
          <w:b w:val="0"/>
          <w:sz w:val="20"/>
        </w:rPr>
        <w:t>the organizer resolutions remain historical records, but any governance term they purported to adopt yields to the final written operating agreement; and</w:t>
      </w:r>
    </w:p>
    <w:p>
      <w:pPr>
        <w:widowControl/>
        <w:numPr>
          <w:ilvl w:val="0"/>
          <w:numId w:val="14"/>
        </w:numPr>
      </w:pPr>
      <w:r>
        <w:rPr>
          <w:rFonts w:ascii="Calibri" w:hAnsi="Calibri"/>
          <w:b w:val="0"/>
          <w:sz w:val="20"/>
        </w:rPr>
        <w:t>the final operating agreement controls if any prior record conflicts with it.</w:t>
      </w:r>
    </w:p>
    <w:p>
      <w:pPr>
        <w:pStyle w:val="Heading2"/>
        <w:pageBreakBefore w:val="0"/>
      </w:pPr>
      <w:r>
        <w:rPr>
          <w:rFonts w:ascii="Calibri" w:hAnsi="Calibri"/>
          <w:b/>
        </w:rPr>
        <w:t>4. Approval of coordinated structure</w:t>
      </w:r>
    </w:p>
    <w:p>
      <w:pPr>
        <w:keepLines w:val="0"/>
        <w:widowControl/>
      </w:pPr>
      <w:r>
        <w:rPr>
          <w:rFonts w:ascii="Calibri" w:hAnsi="Calibri"/>
          <w:b w:val="0"/>
          <w:sz w:val="21"/>
        </w:rPr>
        <w:t>Subject to final legal and tax approval, the member approves the following as one integrated transaction:</w:t>
      </w:r>
    </w:p>
    <w:p>
      <w:pPr>
        <w:widowControl/>
        <w:numPr>
          <w:ilvl w:val="0"/>
          <w:numId w:val="15"/>
        </w:numPr>
      </w:pPr>
      <w:r>
        <w:rPr>
          <w:rFonts w:ascii="Calibri" w:hAnsi="Calibri"/>
          <w:b w:val="0"/>
          <w:sz w:val="20"/>
        </w:rPr>
        <w:t>creation of the Caisson Interest Trust under Instrument 2;</w:t>
      </w:r>
    </w:p>
    <w:p>
      <w:pPr>
        <w:widowControl/>
        <w:numPr>
          <w:ilvl w:val="0"/>
          <w:numId w:val="15"/>
        </w:numPr>
      </w:pPr>
      <w:r>
        <w:rPr>
          <w:rFonts w:ascii="Calibri" w:hAnsi="Calibri"/>
          <w:b w:val="0"/>
          <w:sz w:val="20"/>
        </w:rPr>
        <w:t>assignment of the entire Company interest to the trustee under Instrument 3;</w:t>
      </w:r>
    </w:p>
    <w:p>
      <w:pPr>
        <w:widowControl/>
        <w:numPr>
          <w:ilvl w:val="0"/>
          <w:numId w:val="15"/>
        </w:numPr>
      </w:pPr>
      <w:r>
        <w:rPr>
          <w:rFonts w:ascii="Calibri" w:hAnsi="Calibri"/>
          <w:b w:val="0"/>
          <w:sz w:val="20"/>
        </w:rPr>
        <w:t>admission of the trustee as sole member under Instrument 4;</w:t>
      </w:r>
    </w:p>
    <w:p>
      <w:pPr>
        <w:widowControl/>
        <w:numPr>
          <w:ilvl w:val="0"/>
          <w:numId w:val="15"/>
        </w:numPr>
      </w:pPr>
      <w:r>
        <w:rPr>
          <w:rFonts w:ascii="Calibri" w:hAnsi="Calibri"/>
          <w:b w:val="0"/>
          <w:sz w:val="20"/>
        </w:rPr>
        <w:t>conversion to manager-managed governance under Instrument 5 and any articles amendment;</w:t>
      </w:r>
    </w:p>
    <w:p>
      <w:pPr>
        <w:widowControl/>
        <w:numPr>
          <w:ilvl w:val="0"/>
          <w:numId w:val="15"/>
        </w:numPr>
      </w:pPr>
      <w:r>
        <w:rPr>
          <w:rFonts w:ascii="Calibri" w:hAnsi="Calibri"/>
          <w:b w:val="0"/>
          <w:sz w:val="20"/>
        </w:rPr>
        <w:t>appointment and delegation under Instrument 6;</w:t>
      </w:r>
    </w:p>
    <w:p>
      <w:pPr>
        <w:widowControl/>
        <w:numPr>
          <w:ilvl w:val="0"/>
          <w:numId w:val="15"/>
        </w:numPr>
      </w:pPr>
      <w:r>
        <w:rPr>
          <w:rFonts w:ascii="Calibri" w:hAnsi="Calibri"/>
          <w:b w:val="0"/>
          <w:sz w:val="20"/>
        </w:rPr>
        <w:t>continuity arrangements under Instrument 7;</w:t>
      </w:r>
    </w:p>
    <w:p>
      <w:pPr>
        <w:widowControl/>
        <w:numPr>
          <w:ilvl w:val="0"/>
          <w:numId w:val="15"/>
        </w:numPr>
      </w:pPr>
      <w:r>
        <w:rPr>
          <w:rFonts w:ascii="Calibri" w:hAnsi="Calibri"/>
          <w:b w:val="0"/>
          <w:sz w:val="20"/>
        </w:rPr>
        <w:t>irrevocable escrow and the Handoff Time closing under Instrument 8;</w:t>
      </w:r>
    </w:p>
    <w:p>
      <w:pPr>
        <w:widowControl/>
        <w:numPr>
          <w:ilvl w:val="0"/>
          <w:numId w:val="15"/>
        </w:numPr>
      </w:pPr>
      <w:r>
        <w:rPr>
          <w:rFonts w:ascii="Calibri" w:hAnsi="Calibri"/>
          <w:b w:val="0"/>
          <w:sz w:val="20"/>
        </w:rPr>
        <w:t>the historical IP process under Instrument 9; and</w:t>
      </w:r>
    </w:p>
    <w:p>
      <w:pPr>
        <w:widowControl/>
        <w:numPr>
          <w:ilvl w:val="0"/>
          <w:numId w:val="15"/>
        </w:numPr>
      </w:pPr>
      <w:r>
        <w:rPr>
          <w:rFonts w:ascii="Calibri" w:hAnsi="Calibri"/>
          <w:b w:val="0"/>
          <w:sz w:val="20"/>
        </w:rPr>
        <w:t>the employment and future-work process under Instrument 10.</w:t>
      </w:r>
    </w:p>
    <w:p>
      <w:pPr>
        <w:keepLines w:val="0"/>
        <w:widowControl/>
      </w:pPr>
      <w:r>
        <w:rPr>
          <w:rFonts w:ascii="Calibri" w:hAnsi="Calibri"/>
          <w:b w:val="0"/>
          <w:sz w:val="21"/>
        </w:rPr>
        <w:t>Approval does not waive a condition, fill a bracketed term, or authorize execution before counsel releases final documents.</w:t>
      </w:r>
    </w:p>
    <w:p>
      <w:pPr>
        <w:pStyle w:val="Heading2"/>
        <w:pageBreakBefore w:val="0"/>
      </w:pPr>
      <w:r>
        <w:rPr>
          <w:rFonts w:ascii="Calibri" w:hAnsi="Calibri"/>
          <w:b/>
        </w:rPr>
        <w:t>5. No dilution or inconsistent disposition</w:t>
      </w:r>
    </w:p>
    <w:p>
      <w:pPr>
        <w:keepLines w:val="0"/>
        <w:widowControl/>
      </w:pPr>
      <w:r>
        <w:rPr>
          <w:rFonts w:ascii="Calibri" w:hAnsi="Calibri"/>
          <w:b w:val="0"/>
          <w:sz w:val="21"/>
        </w:rPr>
        <w:t>Before the Handoff Time, no member, manager, trustee, or agent may issue another membership interest, admit another member, grant an option or profits interest, pledge the Company interest, redirect the beneficial interest, or enter an inconsistent transfer agreement except as expressly permitted by the final trust and operating agreement. A bona fide sale of the Company or its assets is not prohibited if made in good faith under the trust and operating agreement and if all resulting value remains subject to the trust.</w:t>
      </w:r>
    </w:p>
    <w:p>
      <w:pPr>
        <w:pStyle w:val="Heading2"/>
        <w:pageBreakBefore w:val="0"/>
      </w:pPr>
      <w:r>
        <w:rPr>
          <w:rFonts w:ascii="Calibri" w:hAnsi="Calibri"/>
          <w:b/>
        </w:rPr>
        <w:t>6. Advisors and independent review</w:t>
      </w:r>
    </w:p>
    <w:p>
      <w:pPr>
        <w:keepLines w:val="0"/>
        <w:widowControl/>
      </w:pPr>
      <w:r>
        <w:rPr>
          <w:rFonts w:ascii="Calibri" w:hAnsi="Calibri"/>
          <w:b w:val="0"/>
          <w:sz w:val="21"/>
        </w:rPr>
        <w:t>The Company is authorized to retain [COUNSEL: Company counsel name and firm], [COUNSEL: independent counsel for Liam or guardian ad litem, if required], [CPA: name and firm], a valuation professional, a professional fiduciary, an escrow agent, and other advisors reasonably necessary to complete the structure.</w:t>
      </w:r>
    </w:p>
    <w:p>
      <w:pPr>
        <w:pStyle w:val="Heading2"/>
        <w:pageBreakBefore w:val="0"/>
      </w:pPr>
      <w:r>
        <w:rPr>
          <w:rFonts w:ascii="Calibri" w:hAnsi="Calibri"/>
          <w:b/>
        </w:rPr>
        <w:t>7. Record corrections and platform updates</w:t>
      </w:r>
    </w:p>
    <w:p>
      <w:pPr>
        <w:keepLines w:val="0"/>
        <w:widowControl/>
      </w:pPr>
      <w:r>
        <w:rPr>
          <w:rFonts w:ascii="Calibri" w:hAnsi="Calibri"/>
          <w:b w:val="0"/>
          <w:sz w:val="21"/>
        </w:rPr>
        <w:t>The manager is directed to maintain a closing binder containing the final instruments, ledger, trust certification, tax and valuation advice, IP schedules, and evidence of each required platform update. No platform may be told that Liam is a present member, manager, adult signer, or legal account owner unless and until that statement becomes true.</w:t>
      </w:r>
    </w:p>
    <w:p>
      <w:pPr>
        <w:pStyle w:val="Heading1"/>
        <w:pageBreakBefore/>
      </w:pPr>
      <w:r>
        <w:rPr>
          <w:rFonts w:ascii="Calibri" w:hAnsi="Calibri"/>
          <w:b/>
        </w:rPr>
        <w:t>Schedule 1-A - Reserved prior acts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800"/>
        <w:gridCol w:w="3400"/>
        <w:gridCol w:w="4160"/>
      </w:tblGrid>
      <w:tr>
        <w:trPr>
          <w:cantSplit w:val="true"/>
          <w:tblHeader w:val="true"/>
        </w:trPr>
        <w:tc>
          <w:tcPr>
            <w:tcW w:type="dxa" w:w="1800"/>
            <w:vAlign w:val="center"/>
            <w:shd w:fill="1F4D78"/>
            <w:tcMar>
              <w:top w:w="80" w:type="dxa"/>
              <w:bottom w:w="80" w:type="dxa"/>
              <w:start w:w="120" w:type="dxa"/>
              <w:end w:w="120" w:type="dxa"/>
            </w:tcMar>
          </w:tcPr>
          <w:p>
            <w:pPr>
              <w:pStyle w:val="TableText"/>
              <w:jc w:val="left"/>
            </w:pPr>
            <w:r>
              <w:rPr>
                <w:rFonts w:ascii="Calibri" w:hAnsi="Calibri"/>
                <w:b/>
                <w:color w:val="FFFFFF"/>
                <w:sz w:val="17"/>
              </w:rPr>
              <w:t>Item</w:t>
            </w:r>
          </w:p>
        </w:tc>
        <w:tc>
          <w:tcPr>
            <w:tcW w:type="dxa" w:w="3400"/>
            <w:vAlign w:val="center"/>
            <w:shd w:fill="1F4D78"/>
            <w:tcMar>
              <w:top w:w="80" w:type="dxa"/>
              <w:bottom w:w="80" w:type="dxa"/>
              <w:start w:w="120" w:type="dxa"/>
              <w:end w:w="120" w:type="dxa"/>
            </w:tcMar>
          </w:tcPr>
          <w:p>
            <w:pPr>
              <w:pStyle w:val="TableText"/>
              <w:jc w:val="left"/>
            </w:pPr>
            <w:r>
              <w:rPr>
                <w:rFonts w:ascii="Calibri" w:hAnsi="Calibri"/>
                <w:b/>
                <w:color w:val="FFFFFF"/>
                <w:sz w:val="17"/>
              </w:rPr>
              <w:t>Current status</w:t>
            </w:r>
          </w:p>
        </w:tc>
        <w:tc>
          <w:tcPr>
            <w:tcW w:type="dxa" w:w="4160"/>
            <w:vAlign w:val="center"/>
            <w:shd w:fill="1F4D78"/>
            <w:tcMar>
              <w:top w:w="80" w:type="dxa"/>
              <w:bottom w:w="80" w:type="dxa"/>
              <w:start w:w="120" w:type="dxa"/>
              <w:end w:w="120" w:type="dxa"/>
            </w:tcMar>
          </w:tcPr>
          <w:p>
            <w:pPr>
              <w:pStyle w:val="TableText"/>
              <w:jc w:val="left"/>
            </w:pPr>
            <w:r>
              <w:rPr>
                <w:rFonts w:ascii="Calibri" w:hAnsi="Calibri"/>
                <w:b/>
                <w:color w:val="FFFFFF"/>
                <w:sz w:val="17"/>
              </w:rPr>
              <w:t>Final disposition required</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Vendor operating-agreement form</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Prefilled; member adoption/signature and material schedules blank</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Counsel determines historical effect; final OA expressly supersedes</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Organizer reference to "general provisions"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Scope and legal effect unresolved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Counsel opinion and superseding clause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Public marketing/docs/legal site</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Public beginning July 10, 2026 under the currently documented gate scope</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Preserve snapshot; review ownership and legal claims</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Public Apache package description</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Public site says 15 packages; registry metadata exposes 16 including analytics</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Reconcile before source publication</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Package copyright notices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Stale "Copyright 2026 GridWork Digital LLC" notice appears in 16 Apache package LICENSE files</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Verify title; correct prospectively; preserve history</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Historical IP title</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Liam is principal known author; no complete assignment supplied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9 plus independent/court review if required</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Platform applications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Mercury and Paddle applications have not been submitted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Do not create entries until an application is submitted; use accurate post-closing facts if later submitted</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Father-funded transactions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Transaction-level review pending</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CPA classification; no blanket ratification</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Final signature, witness, notary, consent, and record-book requirements are for counsel to supply.</w:t>
      </w:r>
    </w:p>
    <w:p>
      <w:pPr>
        <w:pStyle w:val="Heading1"/>
        <w:pageBreakBefore/>
      </w:pPr>
      <w:r>
        <w:rPr>
          <w:rFonts w:ascii="Calibri" w:hAnsi="Calibri"/>
          <w:b/>
        </w:rPr>
        <w:t>Instrument 2 - Irrevocable Caisson Interest Trust Agreement</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Article 1 - Creation and fixed purpose</w:t>
      </w:r>
    </w:p>
    <w:p>
      <w:pPr>
        <w:pStyle w:val="Heading2"/>
        <w:pageBreakBefore w:val="0"/>
      </w:pPr>
      <w:r>
        <w:rPr>
          <w:rFonts w:ascii="Calibri" w:hAnsi="Calibri"/>
          <w:b/>
        </w:rPr>
        <w:t>1.1 Name</w:t>
      </w:r>
    </w:p>
    <w:p>
      <w:pPr>
        <w:keepLines w:val="0"/>
        <w:widowControl/>
      </w:pPr>
      <w:r>
        <w:rPr>
          <w:rFonts w:ascii="Calibri" w:hAnsi="Calibri"/>
          <w:b w:val="0"/>
          <w:sz w:val="21"/>
        </w:rPr>
        <w:t>The trust shall be known as the "Caisson Interest Trust dated [COUNSEL: date]" (the "Trust"). References to the Trust as owner of property mean the then-serving trustee in fiduciary capacity.</w:t>
      </w:r>
    </w:p>
    <w:p>
      <w:pPr>
        <w:pStyle w:val="Heading2"/>
        <w:pageBreakBefore w:val="0"/>
      </w:pPr>
      <w:r>
        <w:rPr>
          <w:rFonts w:ascii="Calibri" w:hAnsi="Calibri"/>
          <w:b/>
        </w:rPr>
        <w:t>1.2 Parties</w:t>
      </w:r>
    </w:p>
    <w:p>
      <w:pPr>
        <w:widowControl/>
        <w:numPr>
          <w:ilvl w:val="0"/>
          <w:numId w:val="16"/>
        </w:numPr>
      </w:pPr>
      <w:r>
        <w:rPr>
          <w:rFonts w:ascii="Calibri" w:hAnsi="Calibri"/>
          <w:b/>
          <w:sz w:val="20"/>
        </w:rPr>
        <w:t>Settlor:</w:t>
      </w:r>
      <w:r>
        <w:rPr>
          <w:rFonts w:ascii="Calibri" w:hAnsi="Calibri"/>
          <w:b w:val="0"/>
          <w:sz w:val="20"/>
        </w:rPr>
        <w:t xml:space="preserve"> Lakshmi Delbel, [COUNSEL: address].</w:t>
      </w:r>
    </w:p>
    <w:p>
      <w:pPr>
        <w:widowControl/>
        <w:numPr>
          <w:ilvl w:val="0"/>
          <w:numId w:val="16"/>
        </w:numPr>
      </w:pPr>
      <w:r>
        <w:rPr>
          <w:rFonts w:ascii="Calibri" w:hAnsi="Calibri"/>
          <w:b/>
          <w:sz w:val="20"/>
        </w:rPr>
        <w:t>Initial Trustee:</w:t>
      </w:r>
      <w:r>
        <w:rPr>
          <w:rFonts w:ascii="Calibri" w:hAnsi="Calibri"/>
          <w:b w:val="0"/>
          <w:sz w:val="20"/>
        </w:rPr>
        <w:t xml:space="preserve"> Lakshmi Delbel, solely in fiduciary capacity.</w:t>
      </w:r>
    </w:p>
    <w:p>
      <w:pPr>
        <w:widowControl/>
        <w:numPr>
          <w:ilvl w:val="0"/>
          <w:numId w:val="16"/>
        </w:numPr>
      </w:pPr>
      <w:r>
        <w:rPr>
          <w:rFonts w:ascii="Calibri" w:hAnsi="Calibri"/>
          <w:b/>
          <w:sz w:val="20"/>
        </w:rPr>
        <w:t>Successor Trustee:</w:t>
      </w:r>
      <w:r>
        <w:rPr>
          <w:rFonts w:ascii="Calibri" w:hAnsi="Calibri"/>
          <w:b w:val="0"/>
          <w:sz w:val="20"/>
        </w:rPr>
        <w:t xml:space="preserve"> Vik Thadani, [COUNSEL: address and adult-capacity confirmation].</w:t>
      </w:r>
    </w:p>
    <w:p>
      <w:pPr>
        <w:widowControl/>
        <w:numPr>
          <w:ilvl w:val="0"/>
          <w:numId w:val="16"/>
        </w:numPr>
      </w:pPr>
      <w:r>
        <w:rPr>
          <w:rFonts w:ascii="Calibri" w:hAnsi="Calibri"/>
          <w:b/>
          <w:sz w:val="20"/>
        </w:rPr>
        <w:t>Sole Beneficiary before the Handoff Time:</w:t>
      </w:r>
      <w:r>
        <w:rPr>
          <w:rFonts w:ascii="Calibri" w:hAnsi="Calibri"/>
          <w:b w:val="0"/>
          <w:sz w:val="20"/>
        </w:rPr>
        <w:t xml:space="preserve"> Liam Thadani, born August 19, 2009.</w:t>
      </w:r>
    </w:p>
    <w:p>
      <w:pPr>
        <w:pStyle w:val="Heading2"/>
        <w:pageBreakBefore w:val="0"/>
      </w:pPr>
      <w:r>
        <w:rPr>
          <w:rFonts w:ascii="Calibri" w:hAnsi="Calibri"/>
          <w:b/>
        </w:rPr>
        <w:t>1.3 Initial trust property</w:t>
      </w:r>
    </w:p>
    <w:p>
      <w:pPr>
        <w:keepLines w:val="0"/>
        <w:widowControl/>
      </w:pPr>
      <w:r>
        <w:rPr>
          <w:rFonts w:ascii="Calibri" w:hAnsi="Calibri"/>
          <w:b w:val="0"/>
          <w:sz w:val="21"/>
        </w:rPr>
        <w:t>The settlor transfers to the trustee the property described on Schedule 2-A, initially consisting of [COUNSEL: nominal seed property] and, when Instrument 3 becomes effective, 100 percent of the membership interest in Caisson Software LLC. Legal title must actually vest in the trustee. The parties shall use a trust name, trustee designation, assignment, and Company ledger entry sufficient under O.C.G.A. Sections 53-12-20 and 53-12-25.</w:t>
      </w:r>
    </w:p>
    <w:p>
      <w:pPr>
        <w:pStyle w:val="Heading2"/>
        <w:pageBreakBefore w:val="0"/>
      </w:pPr>
      <w:r>
        <w:rPr>
          <w:rFonts w:ascii="Calibri" w:hAnsi="Calibri"/>
          <w:b/>
        </w:rPr>
        <w:t>1.4 Irrevocable fixed purpose</w:t>
      </w:r>
    </w:p>
    <w:p>
      <w:pPr>
        <w:keepLines w:val="0"/>
        <w:widowControl/>
      </w:pPr>
      <w:r>
        <w:rPr>
          <w:rFonts w:ascii="Calibri" w:hAnsi="Calibri"/>
          <w:b w:val="0"/>
          <w:sz w:val="21"/>
        </w:rPr>
        <w:t>The Trust is irrevocable. Its material purposes are:</w:t>
      </w:r>
    </w:p>
    <w:p>
      <w:pPr>
        <w:widowControl/>
        <w:numPr>
          <w:ilvl w:val="0"/>
          <w:numId w:val="17"/>
        </w:numPr>
      </w:pPr>
      <w:r>
        <w:rPr>
          <w:rFonts w:ascii="Calibri" w:hAnsi="Calibri"/>
          <w:b w:val="0"/>
          <w:sz w:val="20"/>
        </w:rPr>
        <w:t>for state-law drafting purposes, to hold the entire Company interest for Liam's intended sole current beneficial interest while he is living before the Handoff Time, intended to be vested subject to complete divestment at the stated death condition, without determining gift-tax present-interest status, income-tax ownership, or platform-defined beneficial ownership;</w:t>
      </w:r>
    </w:p>
    <w:p>
      <w:pPr>
        <w:widowControl/>
        <w:numPr>
          <w:ilvl w:val="0"/>
          <w:numId w:val="17"/>
        </w:numPr>
      </w:pPr>
      <w:r>
        <w:rPr>
          <w:rFonts w:ascii="Calibri" w:hAnsi="Calibri"/>
          <w:b w:val="0"/>
          <w:sz w:val="20"/>
        </w:rPr>
        <w:t>to maintain competent adult fiduciary and business control while Liam is a minor;</w:t>
      </w:r>
    </w:p>
    <w:p>
      <w:pPr>
        <w:widowControl/>
        <w:numPr>
          <w:ilvl w:val="0"/>
          <w:numId w:val="17"/>
        </w:numPr>
      </w:pPr>
      <w:r>
        <w:rPr>
          <w:rFonts w:ascii="Calibri" w:hAnsi="Calibri"/>
          <w:b w:val="0"/>
          <w:sz w:val="20"/>
        </w:rPr>
        <w:t>to preserve all Company value, including any sale or substitution proceeds, within the Trust;</w:t>
      </w:r>
    </w:p>
    <w:p>
      <w:pPr>
        <w:widowControl/>
        <w:numPr>
          <w:ilvl w:val="0"/>
          <w:numId w:val="17"/>
        </w:numPr>
      </w:pPr>
      <w:r>
        <w:rPr>
          <w:rFonts w:ascii="Calibri" w:hAnsi="Calibri"/>
          <w:b w:val="0"/>
          <w:sz w:val="20"/>
        </w:rPr>
        <w:t>to transfer all Trust Property automatically and without discretionary approval at the Handoff Time; and</w:t>
      </w:r>
    </w:p>
    <w:p>
      <w:pPr>
        <w:widowControl/>
        <w:numPr>
          <w:ilvl w:val="0"/>
          <w:numId w:val="17"/>
        </w:numPr>
      </w:pPr>
      <w:r>
        <w:rPr>
          <w:rFonts w:ascii="Calibri" w:hAnsi="Calibri"/>
          <w:b w:val="0"/>
          <w:sz w:val="20"/>
        </w:rPr>
        <w:t>if Liam dies before the Handoff Time, to shift the Trust Property to Lakshmi under Article 8.</w:t>
      </w:r>
    </w:p>
    <w:p>
      <w:pPr>
        <w:keepLines w:val="0"/>
        <w:widowControl/>
      </w:pPr>
      <w:r>
        <w:rPr>
          <w:rFonts w:ascii="Calibri" w:hAnsi="Calibri"/>
          <w:b w:val="0"/>
          <w:sz w:val="21"/>
        </w:rPr>
        <w:t>No power may be construed to permit revocation, redirection, beneficiary substitution, discretionary postponement, or a disposition inconsistent with those purposes.</w:t>
      </w:r>
    </w:p>
    <w:p>
      <w:pPr>
        <w:pStyle w:val="Heading2"/>
        <w:pageBreakBefore w:val="0"/>
      </w:pPr>
      <w:r>
        <w:rPr>
          <w:rFonts w:ascii="Calibri" w:hAnsi="Calibri"/>
          <w:b/>
        </w:rPr>
        <w:t>1.5 Vested beneficial interest subject to divestment</w:t>
      </w:r>
    </w:p>
    <w:p>
      <w:pPr>
        <w:keepLines w:val="0"/>
        <w:widowControl/>
      </w:pPr>
      <w:r>
        <w:rPr>
          <w:rFonts w:ascii="Calibri" w:hAnsi="Calibri"/>
          <w:b w:val="0"/>
          <w:sz w:val="21"/>
        </w:rPr>
        <w:t>For state-law drafting purposes, while Liam is living before the Handoff Time he is intended to hold the sole current beneficial interest in the Trust Property, intended to be vested subject to administration, the spendthrift restriction, and complete divestment only if he dies before the Handoff Time. Counsel must confirm that characterization. It does not make Liam a Company member, manager, legal title holder, bank signer, platform administrator, person authorized to bind the Company, federal income-tax owner, gift-tax present-interest holder, or platform-defined beneficial owner.</w:t>
      </w:r>
    </w:p>
    <w:p>
      <w:pPr>
        <w:pStyle w:val="Heading2"/>
        <w:pageBreakBefore w:val="0"/>
      </w:pPr>
      <w:r>
        <w:rPr>
          <w:rFonts w:ascii="Calibri" w:hAnsi="Calibri"/>
          <w:b/>
        </w:rPr>
        <w:t>1.6 Defined terms</w:t>
      </w:r>
    </w:p>
    <w:p>
      <w:pPr>
        <w:widowControl/>
        <w:numPr>
          <w:ilvl w:val="0"/>
          <w:numId w:val="18"/>
        </w:numPr>
      </w:pPr>
      <w:r>
        <w:rPr>
          <w:rFonts w:ascii="Calibri" w:hAnsi="Calibri"/>
          <w:b/>
          <w:sz w:val="20"/>
        </w:rPr>
        <w:t>Company Interest</w:t>
      </w:r>
      <w:r>
        <w:rPr>
          <w:rFonts w:ascii="Calibri" w:hAnsi="Calibri"/>
          <w:b w:val="0"/>
          <w:sz w:val="20"/>
        </w:rPr>
        <w:t xml:space="preserve"> means every economic, distributional, governance, voting, consent, information, and other right included in the 100 percent membership interest, together with any substituted or successor interest.</w:t>
      </w:r>
    </w:p>
    <w:p>
      <w:pPr>
        <w:widowControl/>
        <w:numPr>
          <w:ilvl w:val="0"/>
          <w:numId w:val="18"/>
        </w:numPr>
      </w:pPr>
      <w:r>
        <w:rPr>
          <w:rFonts w:ascii="Calibri" w:hAnsi="Calibri"/>
          <w:b/>
          <w:sz w:val="20"/>
        </w:rPr>
        <w:t>Handoff Time</w:t>
      </w:r>
      <w:r>
        <w:rPr>
          <w:rFonts w:ascii="Calibri" w:hAnsi="Calibri"/>
          <w:b w:val="0"/>
          <w:sz w:val="20"/>
        </w:rPr>
        <w:t xml:space="preserve"> means August 19, 2027 at 12:01 a.m. Eastern Time.</w:t>
      </w:r>
    </w:p>
    <w:p>
      <w:pPr>
        <w:widowControl/>
        <w:numPr>
          <w:ilvl w:val="0"/>
          <w:numId w:val="18"/>
        </w:numPr>
      </w:pPr>
      <w:r>
        <w:rPr>
          <w:rFonts w:ascii="Calibri" w:hAnsi="Calibri"/>
          <w:b/>
          <w:sz w:val="20"/>
        </w:rPr>
        <w:t>Trust Property</w:t>
      </w:r>
      <w:r>
        <w:rPr>
          <w:rFonts w:ascii="Calibri" w:hAnsi="Calibri"/>
          <w:b w:val="0"/>
          <w:sz w:val="20"/>
        </w:rPr>
        <w:t xml:space="preserve"> means the Company Interest, every Company distribution paid to the Trust, and all proceeds, substitutions, accretions, and recoveries described in Section 4.4.</w:t>
      </w:r>
    </w:p>
    <w:p>
      <w:pPr>
        <w:widowControl/>
        <w:numPr>
          <w:ilvl w:val="0"/>
          <w:numId w:val="18"/>
        </w:numPr>
      </w:pPr>
      <w:r>
        <w:rPr>
          <w:rFonts w:ascii="Calibri" w:hAnsi="Calibri"/>
          <w:b/>
          <w:sz w:val="20"/>
        </w:rPr>
        <w:t>Incapacity</w:t>
      </w:r>
      <w:r>
        <w:rPr>
          <w:rFonts w:ascii="Calibri" w:hAnsi="Calibri"/>
          <w:b w:val="0"/>
          <w:sz w:val="20"/>
        </w:rPr>
        <w:t xml:space="preserve"> has the meaning selected in Instrument 7 after counsel coordinates medical privacy, court, power-of-attorney, and platform requirements.</w:t>
      </w:r>
    </w:p>
    <w:p>
      <w:pPr>
        <w:pStyle w:val="Heading1"/>
        <w:pageBreakBefore w:val="0"/>
      </w:pPr>
      <w:r>
        <w:rPr>
          <w:rFonts w:ascii="Calibri" w:hAnsi="Calibri"/>
          <w:b/>
        </w:rPr>
        <w:t>Article 2 - Beneficiary administration before the Handoff Time</w:t>
      </w:r>
    </w:p>
    <w:p>
      <w:pPr>
        <w:pStyle w:val="Heading2"/>
        <w:pageBreakBefore w:val="0"/>
      </w:pPr>
      <w:r>
        <w:rPr>
          <w:rFonts w:ascii="Calibri" w:hAnsi="Calibri"/>
          <w:b/>
        </w:rPr>
        <w:t>2.1 Sole-benefit rule</w:t>
      </w:r>
    </w:p>
    <w:p>
      <w:pPr>
        <w:keepLines w:val="0"/>
        <w:widowControl/>
      </w:pPr>
      <w:r>
        <w:rPr>
          <w:rFonts w:ascii="Calibri" w:hAnsi="Calibri"/>
          <w:b w:val="0"/>
          <w:sz w:val="21"/>
        </w:rPr>
        <w:t>The trustee shall administer the Trust solely in Liam's interests, subject to the express pre-Handoff death limitation. No distribution or transaction may be used to confer a gratuitous benefit on the settlor, trustee, manager, successor, or another person.</w:t>
      </w:r>
    </w:p>
    <w:p>
      <w:pPr>
        <w:pStyle w:val="Heading2"/>
        <w:pageBreakBefore w:val="0"/>
      </w:pPr>
      <w:r>
        <w:rPr>
          <w:rFonts w:ascii="Calibri" w:hAnsi="Calibri"/>
          <w:b/>
        </w:rPr>
        <w:t>2.2 Retention and distributions</w:t>
      </w:r>
    </w:p>
    <w:p>
      <w:pPr>
        <w:keepLines w:val="0"/>
        <w:widowControl/>
      </w:pPr>
      <w:r>
        <w:rPr>
          <w:rFonts w:ascii="Calibri" w:hAnsi="Calibri"/>
          <w:b w:val="0"/>
          <w:sz w:val="21"/>
        </w:rPr>
        <w:t>The trustee may retain and reinvest Company distributions and may make documented distributions for Liam only under a standard approved by counsel and tax counsel. Before paying support, education, maintenance, or tax amounts, the trustee must determine whether the payment discharges a settlor's or parent's legal obligation and who is legally liable for the tax. No tax reimbursement or support-obligation payment is authorized without written tax analysis. A permitted payment may be made directly to a provider and must record the amount, purpose, recipient, legal basis, and accounting category.</w:t>
      </w:r>
    </w:p>
    <w:p>
      <w:pPr>
        <w:keepLines w:val="0"/>
        <w:widowControl/>
      </w:pPr>
      <w:r>
        <w:rPr>
          <w:rFonts w:ascii="Calibri" w:hAnsi="Calibri"/>
          <w:b w:val="0"/>
          <w:sz w:val="21"/>
        </w:rPr>
        <w:t>No Trust distribution shall be relabeled as Company wages, an expense reimbursement, or a parental gift. Compensation for services must be paid and recorded under Instrument 10.</w:t>
      </w:r>
    </w:p>
    <w:p>
      <w:pPr>
        <w:pStyle w:val="Heading2"/>
        <w:pageBreakBefore w:val="0"/>
      </w:pPr>
      <w:r>
        <w:rPr>
          <w:rFonts w:ascii="Calibri" w:hAnsi="Calibri"/>
          <w:b/>
        </w:rPr>
        <w:t>2.3 No withdrawal or direction right</w:t>
      </w:r>
    </w:p>
    <w:p>
      <w:pPr>
        <w:keepLines w:val="0"/>
        <w:widowControl/>
      </w:pPr>
      <w:r>
        <w:rPr>
          <w:rFonts w:ascii="Calibri" w:hAnsi="Calibri"/>
          <w:b w:val="0"/>
          <w:sz w:val="21"/>
        </w:rPr>
        <w:t>Before the Handoff Time, Liam has no right to withdraw Trust Property, compel a distribution, direct a vote, remove a trustee, bind the Company, or use trustee or manager credentials. Counsel may give Liam information, consultation, or consent rights that do not create an impermissible present control right or undermine the fixed structure. Beneficial ownership alone does not make Liam an income-tax owner under Section 678. Tax counsel must determine whether this no-withdrawal design is intended and what income-tax ownership follows; no withdrawal power may be added solely to obtain a tax label without reviewing its legal, creditor, gift, and estate consequences.</w:t>
      </w:r>
    </w:p>
    <w:p>
      <w:pPr>
        <w:pStyle w:val="Heading2"/>
        <w:pageBreakBefore w:val="0"/>
      </w:pPr>
      <w:r>
        <w:rPr>
          <w:rFonts w:ascii="Calibri" w:hAnsi="Calibri"/>
          <w:b/>
        </w:rPr>
        <w:t>2.4 Reports</w:t>
      </w:r>
    </w:p>
    <w:p>
      <w:pPr>
        <w:keepLines w:val="0"/>
        <w:widowControl/>
      </w:pPr>
      <w:r>
        <w:rPr>
          <w:rFonts w:ascii="Calibri" w:hAnsi="Calibri"/>
          <w:b w:val="0"/>
          <w:sz w:val="21"/>
        </w:rPr>
        <w:t>At least quarterly [COUNSEL: or annually], the trustee shall provide a plain-language report to Liam and [COUNSEL: Liam's independent lawyer, guardian, or other lawful recipient] showing:</w:t>
      </w:r>
    </w:p>
    <w:p>
      <w:pPr>
        <w:widowControl/>
        <w:numPr>
          <w:ilvl w:val="0"/>
          <w:numId w:val="19"/>
        </w:numPr>
      </w:pPr>
      <w:r>
        <w:rPr>
          <w:rFonts w:ascii="Calibri" w:hAnsi="Calibri"/>
          <w:b w:val="0"/>
          <w:sz w:val="20"/>
        </w:rPr>
        <w:t>Trust assets and liabilities;</w:t>
      </w:r>
    </w:p>
    <w:p>
      <w:pPr>
        <w:widowControl/>
        <w:numPr>
          <w:ilvl w:val="0"/>
          <w:numId w:val="19"/>
        </w:numPr>
      </w:pPr>
      <w:r>
        <w:rPr>
          <w:rFonts w:ascii="Calibri" w:hAnsi="Calibri"/>
          <w:b w:val="0"/>
          <w:sz w:val="20"/>
        </w:rPr>
        <w:t>Company distributions received;</w:t>
      </w:r>
    </w:p>
    <w:p>
      <w:pPr>
        <w:widowControl/>
        <w:numPr>
          <w:ilvl w:val="0"/>
          <w:numId w:val="19"/>
        </w:numPr>
      </w:pPr>
      <w:r>
        <w:rPr>
          <w:rFonts w:ascii="Calibri" w:hAnsi="Calibri"/>
          <w:b w:val="0"/>
          <w:sz w:val="20"/>
        </w:rPr>
        <w:t>Trust distributions and expenses;</w:t>
      </w:r>
    </w:p>
    <w:p>
      <w:pPr>
        <w:widowControl/>
        <w:numPr>
          <w:ilvl w:val="0"/>
          <w:numId w:val="19"/>
        </w:numPr>
      </w:pPr>
      <w:r>
        <w:rPr>
          <w:rFonts w:ascii="Calibri" w:hAnsi="Calibri"/>
          <w:b w:val="0"/>
          <w:sz w:val="20"/>
        </w:rPr>
        <w:t>material Company transactions, including financings or sale discussions;</w:t>
      </w:r>
    </w:p>
    <w:p>
      <w:pPr>
        <w:widowControl/>
        <w:numPr>
          <w:ilvl w:val="0"/>
          <w:numId w:val="19"/>
        </w:numPr>
      </w:pPr>
      <w:r>
        <w:rPr>
          <w:rFonts w:ascii="Calibri" w:hAnsi="Calibri"/>
          <w:b w:val="0"/>
          <w:sz w:val="20"/>
        </w:rPr>
        <w:t>changes in account custody or platform control; and</w:t>
      </w:r>
    </w:p>
    <w:p>
      <w:pPr>
        <w:widowControl/>
        <w:numPr>
          <w:ilvl w:val="0"/>
          <w:numId w:val="19"/>
        </w:numPr>
      </w:pPr>
      <w:r>
        <w:rPr>
          <w:rFonts w:ascii="Calibri" w:hAnsi="Calibri"/>
          <w:b w:val="0"/>
          <w:sz w:val="20"/>
        </w:rPr>
        <w:t>conflicts disclosed and how they were addressed.</w:t>
      </w:r>
    </w:p>
    <w:p>
      <w:pPr>
        <w:pStyle w:val="Heading1"/>
        <w:pageBreakBefore w:val="0"/>
      </w:pPr>
      <w:r>
        <w:rPr>
          <w:rFonts w:ascii="Calibri" w:hAnsi="Calibri"/>
          <w:b/>
        </w:rPr>
        <w:t>Article 3 - Trustee standards and conflicts</w:t>
      </w:r>
    </w:p>
    <w:p>
      <w:pPr>
        <w:pStyle w:val="Heading2"/>
        <w:pageBreakBefore w:val="0"/>
      </w:pPr>
      <w:r>
        <w:rPr>
          <w:rFonts w:ascii="Calibri" w:hAnsi="Calibri"/>
          <w:b/>
        </w:rPr>
        <w:t>3.1 Good faith and beneficiary interests</w:t>
      </w:r>
    </w:p>
    <w:p>
      <w:pPr>
        <w:keepLines w:val="0"/>
        <w:widowControl/>
      </w:pPr>
      <w:r>
        <w:rPr>
          <w:rFonts w:ascii="Calibri" w:hAnsi="Calibri"/>
          <w:b w:val="0"/>
          <w:sz w:val="21"/>
        </w:rPr>
        <w:t>The trustee shall act in good faith, with reasonable care, and solely in the interests of the beneficiary, consistent with O.C.G.A. Sections 53-12-240 and 53-12-246 and any nonwaivable duties. Broad discretion does not authorize bad faith, reckless indifference, willful misconduct, self-dealing, concealment, or diversion.</w:t>
      </w:r>
    </w:p>
    <w:p>
      <w:pPr>
        <w:pStyle w:val="Heading2"/>
        <w:pageBreakBefore w:val="0"/>
      </w:pPr>
      <w:r>
        <w:rPr>
          <w:rFonts w:ascii="Calibri" w:hAnsi="Calibri"/>
          <w:b/>
        </w:rPr>
        <w:t>3.2 Dual-capacity acknowledgement</w:t>
      </w:r>
    </w:p>
    <w:p>
      <w:pPr>
        <w:keepLines w:val="0"/>
        <w:widowControl/>
      </w:pPr>
      <w:r>
        <w:rPr>
          <w:rFonts w:ascii="Calibri" w:hAnsi="Calibri"/>
          <w:b w:val="0"/>
          <w:sz w:val="21"/>
        </w:rPr>
        <w:t>The Trust contemplates that Lakshmi will serve both as trustee and Company manager. Holding both roles is not itself a waiver of fiduciary duties. The trustee shall identify the capacity in which each material act is taken and maintain separate Trust and Company records.</w:t>
      </w:r>
    </w:p>
    <w:p>
      <w:pPr>
        <w:pStyle w:val="Heading2"/>
        <w:pageBreakBefore w:val="0"/>
      </w:pPr>
      <w:r>
        <w:rPr>
          <w:rFonts w:ascii="Calibri" w:hAnsi="Calibri"/>
          <w:b/>
        </w:rPr>
        <w:t>3.3 Related-party transactions</w:t>
      </w:r>
    </w:p>
    <w:p>
      <w:pPr>
        <w:keepLines w:val="0"/>
        <w:widowControl/>
      </w:pPr>
      <w:r>
        <w:rPr>
          <w:rFonts w:ascii="Calibri" w:hAnsi="Calibri"/>
          <w:b w:val="0"/>
          <w:sz w:val="21"/>
        </w:rPr>
        <w:t>A transaction between the Company or Trust and Lakshmi, Vik Thadani, another fiduciary, an advisor, or an entity controlled by any of them requires:</w:t>
      </w:r>
    </w:p>
    <w:p>
      <w:pPr>
        <w:widowControl/>
        <w:numPr>
          <w:ilvl w:val="0"/>
          <w:numId w:val="20"/>
        </w:numPr>
      </w:pPr>
      <w:r>
        <w:rPr>
          <w:rFonts w:ascii="Calibri" w:hAnsi="Calibri"/>
          <w:b w:val="0"/>
          <w:sz w:val="20"/>
        </w:rPr>
        <w:t>full written disclosure of terms and conflicts;</w:t>
      </w:r>
    </w:p>
    <w:p>
      <w:pPr>
        <w:widowControl/>
        <w:numPr>
          <w:ilvl w:val="0"/>
          <w:numId w:val="20"/>
        </w:numPr>
      </w:pPr>
      <w:r>
        <w:rPr>
          <w:rFonts w:ascii="Calibri" w:hAnsi="Calibri"/>
          <w:b w:val="0"/>
          <w:sz w:val="20"/>
        </w:rPr>
        <w:t>commercially reasonable terms supported by available evidence;</w:t>
      </w:r>
    </w:p>
    <w:p>
      <w:pPr>
        <w:widowControl/>
        <w:numPr>
          <w:ilvl w:val="0"/>
          <w:numId w:val="20"/>
        </w:numPr>
      </w:pPr>
      <w:r>
        <w:rPr>
          <w:rFonts w:ascii="Calibri" w:hAnsi="Calibri"/>
          <w:b w:val="0"/>
          <w:sz w:val="20"/>
        </w:rPr>
        <w:t>approval by [COUNSEL: independent trustee, trust director, Liam's independent counsel, court, or other lawful reviewer]; and</w:t>
      </w:r>
    </w:p>
    <w:p>
      <w:pPr>
        <w:widowControl/>
        <w:numPr>
          <w:ilvl w:val="0"/>
          <w:numId w:val="20"/>
        </w:numPr>
      </w:pPr>
      <w:r>
        <w:rPr>
          <w:rFonts w:ascii="Calibri" w:hAnsi="Calibri"/>
          <w:b w:val="0"/>
          <w:sz w:val="20"/>
        </w:rPr>
        <w:t>separate Company and Trust records.</w:t>
      </w:r>
    </w:p>
    <w:p>
      <w:pPr>
        <w:keepLines w:val="0"/>
        <w:widowControl/>
      </w:pPr>
      <w:r>
        <w:rPr>
          <w:rFonts w:ascii="Calibri" w:hAnsi="Calibri"/>
          <w:b w:val="0"/>
          <w:sz w:val="21"/>
        </w:rPr>
        <w:t>The review mechanism may not redirect the Trust or alter the Handoff Time.</w:t>
      </w:r>
    </w:p>
    <w:p>
      <w:pPr>
        <w:pStyle w:val="Heading2"/>
        <w:pageBreakBefore w:val="0"/>
      </w:pPr>
      <w:r>
        <w:rPr>
          <w:rFonts w:ascii="Calibri" w:hAnsi="Calibri"/>
          <w:b/>
        </w:rPr>
        <w:t>3.4 Exculpation and indemnity</w:t>
      </w:r>
    </w:p>
    <w:p>
      <w:pPr>
        <w:keepLines w:val="0"/>
        <w:widowControl/>
      </w:pPr>
      <w:r>
        <w:rPr>
          <w:rFonts w:ascii="Calibri" w:hAnsi="Calibri"/>
          <w:b w:val="0"/>
          <w:sz w:val="21"/>
        </w:rPr>
        <w:t>No fiduciary is liable for a good-faith business judgment within granted authority, but no provision exculpates or indemnifies bad faith, willful misconduct, reckless indifference, improper personal profit, knowing legal violation, or a liability that cannot lawfully be waived. [COUNSEL: conform to Georgia trust law and professional-fiduciary requirements.]</w:t>
      </w:r>
    </w:p>
    <w:p>
      <w:pPr>
        <w:pStyle w:val="Heading1"/>
        <w:pageBreakBefore w:val="0"/>
      </w:pPr>
      <w:r>
        <w:rPr>
          <w:rFonts w:ascii="Calibri" w:hAnsi="Calibri"/>
          <w:b/>
        </w:rPr>
        <w:t>Article 4 - Trustee powers and Company business discretion</w:t>
      </w:r>
    </w:p>
    <w:p>
      <w:pPr>
        <w:pStyle w:val="Heading2"/>
        <w:pageBreakBefore w:val="0"/>
      </w:pPr>
      <w:r>
        <w:rPr>
          <w:rFonts w:ascii="Calibri" w:hAnsi="Calibri"/>
          <w:b/>
        </w:rPr>
        <w:t>4.1 General powers</w:t>
      </w:r>
    </w:p>
    <w:p>
      <w:pPr>
        <w:keepLines w:val="0"/>
        <w:widowControl/>
      </w:pPr>
      <w:r>
        <w:rPr>
          <w:rFonts w:ascii="Calibri" w:hAnsi="Calibri"/>
          <w:b w:val="0"/>
          <w:sz w:val="21"/>
        </w:rPr>
        <w:t>In addition to statutory powers, the trustee may hold, vote, consent with respect to, exchange, reorganize, recapitalize, pledge, finance, sell, or otherwise administer the Company Interest; retain concentrated ownership; make capital contributions; approve tax elections on CPA advice; retain advisors; settle claims; and execute related documents, subject to this agreement.</w:t>
      </w:r>
    </w:p>
    <w:p>
      <w:pPr>
        <w:pStyle w:val="Heading2"/>
        <w:pageBreakBefore w:val="0"/>
      </w:pPr>
      <w:r>
        <w:rPr>
          <w:rFonts w:ascii="Calibri" w:hAnsi="Calibri"/>
          <w:b/>
        </w:rPr>
        <w:t>4.2 Broad good-faith discretion</w:t>
      </w:r>
    </w:p>
    <w:p>
      <w:pPr>
        <w:keepLines w:val="0"/>
        <w:widowControl/>
      </w:pPr>
      <w:r>
        <w:rPr>
          <w:rFonts w:ascii="Calibri" w:hAnsi="Calibri"/>
          <w:b w:val="0"/>
          <w:sz w:val="21"/>
        </w:rPr>
        <w:t>The trustee may determine in good faith that retaining, reinvesting in, financing, restructuring, or selling the Company best protects Liam's interests. The trustee is not required to diversify the Company Interest merely because it is concentrated, but shall periodically document liquidity, business, liability, tax, and continuity risks.</w:t>
      </w:r>
    </w:p>
    <w:p>
      <w:pPr>
        <w:pStyle w:val="Heading2"/>
        <w:pageBreakBefore w:val="0"/>
      </w:pPr>
      <w:r>
        <w:rPr>
          <w:rFonts w:ascii="Calibri" w:hAnsi="Calibri"/>
          <w:b/>
        </w:rPr>
        <w:t>4.3 Company sale</w:t>
      </w:r>
    </w:p>
    <w:p>
      <w:pPr>
        <w:keepLines w:val="0"/>
        <w:widowControl/>
      </w:pPr>
      <w:r>
        <w:rPr>
          <w:rFonts w:ascii="Calibri" w:hAnsi="Calibri"/>
          <w:b w:val="0"/>
          <w:sz w:val="21"/>
        </w:rPr>
        <w:t>The trustee and manager may approve a bona fide sale, merger, conversion, recapitalization, license, or asset disposition before the Handoff Time if they act in good faith for legitimate business purposes and comply with conflict controls. No sale may be structured primarily to defeat Liam's fixed beneficial interest or the Handoff Time.</w:t>
      </w:r>
    </w:p>
    <w:p>
      <w:pPr>
        <w:pStyle w:val="Heading2"/>
        <w:pageBreakBefore w:val="0"/>
      </w:pPr>
      <w:r>
        <w:rPr>
          <w:rFonts w:ascii="Calibri" w:hAnsi="Calibri"/>
          <w:b/>
        </w:rPr>
        <w:t>4.4 Sale proceeds remain Trust Property</w:t>
      </w:r>
    </w:p>
    <w:p>
      <w:pPr>
        <w:keepLines w:val="0"/>
        <w:widowControl/>
      </w:pPr>
      <w:r>
        <w:rPr>
          <w:rFonts w:ascii="Calibri" w:hAnsi="Calibri"/>
          <w:b w:val="0"/>
          <w:sz w:val="21"/>
        </w:rPr>
        <w:t>Every item received because of a sale, merger, recapitalization, liquidation, redemption, asset disposition, insurance event, or other realization of Company value remains Trust Property. This includes cash, securities, rollover equity, notes, escrowed funds, contingent payments, earnouts, holdbacks, indemnity payments, litigation recoveries, intellectual-property sale proceeds distributed to the owner, and property traceable to any of them. No fiduciary may distribute such value to another person except as expressly permitted for Liam's benefit or under Article 8.</w:t>
      </w:r>
    </w:p>
    <w:p>
      <w:pPr>
        <w:pStyle w:val="Heading2"/>
        <w:pageBreakBefore w:val="0"/>
      </w:pPr>
      <w:r>
        <w:rPr>
          <w:rFonts w:ascii="Calibri" w:hAnsi="Calibri"/>
          <w:b/>
        </w:rPr>
        <w:t>4.5 Borrowing and security</w:t>
      </w:r>
    </w:p>
    <w:p>
      <w:pPr>
        <w:keepLines w:val="0"/>
        <w:widowControl/>
      </w:pPr>
      <w:r>
        <w:rPr>
          <w:rFonts w:ascii="Calibri" w:hAnsi="Calibri"/>
          <w:b w:val="0"/>
          <w:sz w:val="21"/>
        </w:rPr>
        <w:t>The trustee may borrow or pledge Trust Property only for a documented Trust or Company purpose, on commercially reasonable terms, and not to benefit a related party. [COUNSEL: decide whether an independent approval threshold applies.]</w:t>
      </w:r>
    </w:p>
    <w:p>
      <w:pPr>
        <w:pStyle w:val="Heading2"/>
        <w:pageBreakBefore w:val="0"/>
      </w:pPr>
      <w:r>
        <w:rPr>
          <w:rFonts w:ascii="Calibri" w:hAnsi="Calibri"/>
          <w:b/>
        </w:rPr>
        <w:t>4.6 Advisors and delegation</w:t>
      </w:r>
    </w:p>
    <w:p>
      <w:pPr>
        <w:keepLines w:val="0"/>
        <w:widowControl/>
      </w:pPr>
      <w:r>
        <w:rPr>
          <w:rFonts w:ascii="Calibri" w:hAnsi="Calibri"/>
          <w:b w:val="0"/>
          <w:sz w:val="21"/>
        </w:rPr>
        <w:t>The trustee may retain and reasonably rely on licensed counsel, a CPA, valuation professionals, investment advisors, a professional fiduciary, and technical specialists. Delegation does not permit transfer of the power to change beneficial interests and does not eliminate the trustee's duty to select, instruct, and monitor an agent.</w:t>
      </w:r>
    </w:p>
    <w:p>
      <w:pPr>
        <w:pStyle w:val="Heading1"/>
        <w:pageBreakBefore w:val="0"/>
      </w:pPr>
      <w:r>
        <w:rPr>
          <w:rFonts w:ascii="Calibri" w:hAnsi="Calibri"/>
          <w:b/>
        </w:rPr>
        <w:t>Article 5 - Irrevocability and restricted modification</w:t>
      </w:r>
    </w:p>
    <w:p>
      <w:pPr>
        <w:pStyle w:val="Heading2"/>
        <w:pageBreakBefore w:val="0"/>
      </w:pPr>
      <w:r>
        <w:rPr>
          <w:rFonts w:ascii="Calibri" w:hAnsi="Calibri"/>
          <w:b/>
        </w:rPr>
        <w:t>5.1 No retained revocation power</w:t>
      </w:r>
    </w:p>
    <w:p>
      <w:pPr>
        <w:keepLines w:val="0"/>
        <w:widowControl/>
      </w:pPr>
      <w:r>
        <w:rPr>
          <w:rFonts w:ascii="Calibri" w:hAnsi="Calibri"/>
          <w:b w:val="0"/>
          <w:sz w:val="21"/>
        </w:rPr>
        <w:t>The settlor reserves no power to revoke, terminate, reclaim, redirect, or amend the Trust. O.C.G.A. Section 53-12-40 should be addressed expressly in final counsel language so no revocation or modification power arises by implication.</w:t>
      </w:r>
    </w:p>
    <w:p>
      <w:pPr>
        <w:pStyle w:val="Heading2"/>
        <w:pageBreakBefore w:val="0"/>
      </w:pPr>
      <w:r>
        <w:rPr>
          <w:rFonts w:ascii="Calibri" w:hAnsi="Calibri"/>
          <w:b/>
        </w:rPr>
        <w:t>5.2 Permitted administrative correction only</w:t>
      </w:r>
    </w:p>
    <w:p>
      <w:pPr>
        <w:keepLines w:val="0"/>
        <w:widowControl/>
      </w:pPr>
      <w:r>
        <w:rPr>
          <w:rFonts w:ascii="Calibri" w:hAnsi="Calibri"/>
          <w:b w:val="0"/>
          <w:sz w:val="21"/>
        </w:rPr>
        <w:t>An independent court or [COUNSEL: independent trust director, if lawful and advisable] may modify an administrative term under O.C.G.A. Section 53-12-61 solely to:</w:t>
      </w:r>
    </w:p>
    <w:p>
      <w:pPr>
        <w:widowControl/>
        <w:numPr>
          <w:ilvl w:val="0"/>
          <w:numId w:val="21"/>
        </w:numPr>
      </w:pPr>
      <w:r>
        <w:rPr>
          <w:rFonts w:ascii="Calibri" w:hAnsi="Calibri"/>
          <w:b w:val="0"/>
          <w:sz w:val="20"/>
        </w:rPr>
        <w:t>correct a scrivener's error;</w:t>
      </w:r>
    </w:p>
    <w:p>
      <w:pPr>
        <w:widowControl/>
        <w:numPr>
          <w:ilvl w:val="0"/>
          <w:numId w:val="21"/>
        </w:numPr>
      </w:pPr>
      <w:r>
        <w:rPr>
          <w:rFonts w:ascii="Calibri" w:hAnsi="Calibri"/>
          <w:b w:val="0"/>
          <w:sz w:val="20"/>
        </w:rPr>
        <w:t>comply with a change in law;</w:t>
      </w:r>
    </w:p>
    <w:p>
      <w:pPr>
        <w:widowControl/>
        <w:numPr>
          <w:ilvl w:val="0"/>
          <w:numId w:val="21"/>
        </w:numPr>
      </w:pPr>
      <w:r>
        <w:rPr>
          <w:rFonts w:ascii="Calibri" w:hAnsi="Calibri"/>
          <w:b w:val="0"/>
          <w:sz w:val="20"/>
        </w:rPr>
        <w:t>preserve a tax treatment determined from the final instrument and confirmed in writing by tax counsel and the CPA before execution;</w:t>
      </w:r>
    </w:p>
    <w:p>
      <w:pPr>
        <w:widowControl/>
        <w:numPr>
          <w:ilvl w:val="0"/>
          <w:numId w:val="21"/>
        </w:numPr>
      </w:pPr>
      <w:r>
        <w:rPr>
          <w:rFonts w:ascii="Calibri" w:hAnsi="Calibri"/>
          <w:b w:val="0"/>
          <w:sz w:val="20"/>
        </w:rPr>
        <w:t>change situs, governing administration, or a fiduciary mechanism; or</w:t>
      </w:r>
    </w:p>
    <w:p>
      <w:pPr>
        <w:widowControl/>
        <w:numPr>
          <w:ilvl w:val="0"/>
          <w:numId w:val="21"/>
        </w:numPr>
      </w:pPr>
      <w:r>
        <w:rPr>
          <w:rFonts w:ascii="Calibri" w:hAnsi="Calibri"/>
          <w:b w:val="0"/>
          <w:sz w:val="20"/>
        </w:rPr>
        <w:t>facilitate the exact fixed disposition.</w:t>
      </w:r>
    </w:p>
    <w:p>
      <w:pPr>
        <w:keepLines w:val="0"/>
        <w:widowControl/>
      </w:pPr>
      <w:r>
        <w:rPr>
          <w:rFonts w:ascii="Calibri" w:hAnsi="Calibri"/>
          <w:b w:val="0"/>
          <w:sz w:val="21"/>
        </w:rPr>
        <w:t>No modification may change Liam's sole beneficial ownership while living before the Handoff Time, postpone the Handoff Time, alter the pre-Handoff death disposition, permit revocation, or divert Trust Property.</w:t>
      </w:r>
    </w:p>
    <w:p>
      <w:pPr>
        <w:pStyle w:val="Heading2"/>
        <w:pageBreakBefore w:val="0"/>
      </w:pPr>
      <w:r>
        <w:rPr>
          <w:rFonts w:ascii="Calibri" w:hAnsi="Calibri"/>
          <w:b/>
        </w:rPr>
        <w:t>5.3 No decanting or exercise of discretion to alter economics</w:t>
      </w:r>
    </w:p>
    <w:p>
      <w:pPr>
        <w:keepLines w:val="0"/>
        <w:widowControl/>
      </w:pPr>
      <w:r>
        <w:rPr>
          <w:rFonts w:ascii="Calibri" w:hAnsi="Calibri"/>
          <w:b w:val="0"/>
          <w:sz w:val="21"/>
        </w:rPr>
        <w:t>No decanting, merger, division, appointment, disclaimer, settlement, nonjudicial agreement, trust protector power, or other mechanism may alter the fixed economics described in Section 1.4. [COUNSEL: add any required statutory savings clause.]</w:t>
      </w:r>
    </w:p>
    <w:p>
      <w:pPr>
        <w:pStyle w:val="Heading1"/>
        <w:pageBreakBefore w:val="0"/>
      </w:pPr>
      <w:r>
        <w:rPr>
          <w:rFonts w:ascii="Calibri" w:hAnsi="Calibri"/>
          <w:b/>
        </w:rPr>
        <w:t>Article 6 - Trustee succession</w:t>
      </w:r>
    </w:p>
    <w:p>
      <w:pPr>
        <w:pStyle w:val="Heading2"/>
        <w:pageBreakBefore w:val="0"/>
      </w:pPr>
      <w:r>
        <w:rPr>
          <w:rFonts w:ascii="Calibri" w:hAnsi="Calibri"/>
          <w:b/>
        </w:rPr>
        <w:t>6.1 Initial successor</w:t>
      </w:r>
    </w:p>
    <w:p>
      <w:pPr>
        <w:keepLines w:val="0"/>
        <w:widowControl/>
      </w:pPr>
      <w:r>
        <w:rPr>
          <w:rFonts w:ascii="Calibri" w:hAnsi="Calibri"/>
          <w:b w:val="0"/>
          <w:sz w:val="21"/>
        </w:rPr>
        <w:t>Upon Lakshmi's death, Incapacity, resignation, removal for cause, or inability to serve, Vik Thadani becomes successor trustee after written acceptance and the other qualification steps in Instruments 4 and 7, without changing the Trust's identity or beneficial ownership, the Handoff Time, or creating any present beneficial interest for Vik. Legal title passes to the serving trustee in fiduciary capacity.</w:t>
      </w:r>
    </w:p>
    <w:p>
      <w:pPr>
        <w:pStyle w:val="Heading2"/>
        <w:pageBreakBefore w:val="0"/>
      </w:pPr>
      <w:r>
        <w:rPr>
          <w:rFonts w:ascii="Calibri" w:hAnsi="Calibri"/>
          <w:b/>
        </w:rPr>
        <w:t>6.2 Professional and court fallback</w:t>
      </w:r>
    </w:p>
    <w:p>
      <w:pPr>
        <w:keepLines w:val="0"/>
        <w:widowControl/>
      </w:pPr>
      <w:r>
        <w:rPr>
          <w:rFonts w:ascii="Calibri" w:hAnsi="Calibri"/>
          <w:b w:val="0"/>
          <w:sz w:val="21"/>
        </w:rPr>
        <w:t>If Vik does not accept within [COUNSEL: number] business days or later ceases to serve, [COUNSEL: named professional fiduciary or appointment mechanism] shall serve. If no named professional accepts promptly, any interested person shall petition a court of competent jurisdiction to appoint an independent professional fiduciary. The court appointee receives only the powers and fixed duties stated here.</w:t>
      </w:r>
    </w:p>
    <w:p>
      <w:pPr>
        <w:pStyle w:val="Heading2"/>
        <w:pageBreakBefore w:val="0"/>
      </w:pPr>
      <w:r>
        <w:rPr>
          <w:rFonts w:ascii="Calibri" w:hAnsi="Calibri"/>
          <w:b/>
        </w:rPr>
        <w:t>6.3 Removal for cause</w:t>
      </w:r>
    </w:p>
    <w:p>
      <w:pPr>
        <w:keepLines w:val="0"/>
        <w:widowControl/>
      </w:pPr>
      <w:r>
        <w:rPr>
          <w:rFonts w:ascii="Calibri" w:hAnsi="Calibri"/>
          <w:b w:val="0"/>
          <w:sz w:val="21"/>
        </w:rPr>
        <w:t>A trustee may be removed for fraud, bad faith, willful misconduct, reckless indifference, material breach, persistent failure to account, incapacity, or a disqualifying conflict, by [COUNSEL: court or independent mechanism]. Removal may not be used to redirect the Trust.</w:t>
      </w:r>
    </w:p>
    <w:p>
      <w:pPr>
        <w:pStyle w:val="Heading2"/>
        <w:pageBreakBefore w:val="0"/>
      </w:pPr>
      <w:r>
        <w:rPr>
          <w:rFonts w:ascii="Calibri" w:hAnsi="Calibri"/>
          <w:b/>
        </w:rPr>
        <w:t>6.4 No bond; compensation</w:t>
      </w:r>
    </w:p>
    <w:p>
      <w:pPr>
        <w:keepLines w:val="0"/>
        <w:widowControl/>
      </w:pPr>
      <w:r>
        <w:rPr>
          <w:rFonts w:ascii="Calibri" w:hAnsi="Calibri"/>
          <w:b w:val="0"/>
          <w:sz w:val="21"/>
        </w:rPr>
        <w:t>[COUNSEL: decide bond, insurance, and background requirements.] Lakshmi waives compensation unless [COUNSEL: contrary instruction]. A successor or professional trustee may receive reasonable compensation under a written schedule disclosed to Liam and the independent reviewer.</w:t>
      </w:r>
    </w:p>
    <w:p>
      <w:pPr>
        <w:pStyle w:val="Heading1"/>
        <w:pageBreakBefore w:val="0"/>
      </w:pPr>
      <w:r>
        <w:rPr>
          <w:rFonts w:ascii="Calibri" w:hAnsi="Calibri"/>
          <w:b/>
        </w:rPr>
        <w:t>Article 7 - Automatic Handoff Time distribution</w:t>
      </w:r>
    </w:p>
    <w:p>
      <w:pPr>
        <w:pStyle w:val="Heading2"/>
        <w:pageBreakBefore w:val="0"/>
      </w:pPr>
      <w:r>
        <w:rPr>
          <w:rFonts w:ascii="Calibri" w:hAnsi="Calibri"/>
          <w:b/>
        </w:rPr>
        <w:t>7.1 Mandatory distribution</w:t>
      </w:r>
    </w:p>
    <w:p>
      <w:pPr>
        <w:keepLines w:val="0"/>
        <w:widowControl/>
      </w:pPr>
      <w:r>
        <w:rPr>
          <w:rFonts w:ascii="Calibri" w:hAnsi="Calibri"/>
          <w:b w:val="0"/>
          <w:sz w:val="21"/>
        </w:rPr>
        <w:t>If Liam is living at the Handoff Time, all beneficial and assignable Trust Property vests in him automatically and shall be distributed outright at the Handoff Time. The trustee has no discretion to withhold, postpone, condition, redirect, or require a release as a condition of the economic distribution. Statutory member and manager rights remain subject to Liam's valid adult consent and acceptance.</w:t>
      </w:r>
    </w:p>
    <w:p>
      <w:pPr>
        <w:pStyle w:val="Heading2"/>
        <w:pageBreakBefore w:val="0"/>
      </w:pPr>
      <w:r>
        <w:rPr>
          <w:rFonts w:ascii="Calibri" w:hAnsi="Calibri"/>
          <w:b/>
        </w:rPr>
        <w:t>7.2 Company Interest</w:t>
      </w:r>
    </w:p>
    <w:p>
      <w:pPr>
        <w:keepLines w:val="0"/>
        <w:widowControl/>
      </w:pPr>
      <w:r>
        <w:rPr>
          <w:rFonts w:ascii="Calibri" w:hAnsi="Calibri"/>
          <w:b w:val="0"/>
          <w:sz w:val="21"/>
        </w:rPr>
        <w:t>If the Trust still owns the Company Interest, its economic and other assignable rights are distributed at the Handoff Time. Liam receives governance and member rights only upon delivery of valid adult consent and admission under Instruments 5 and 8, and receives manager authority only upon valid adult acceptance. The trustee has no discretion to redirect the property or withhold a consent already validly delivered. If a required adult consent is absent, the limited continuity provisions in Instrument 8 preserve the Company without altering Liam's transferred economics.</w:t>
      </w:r>
    </w:p>
    <w:p>
      <w:pPr>
        <w:pStyle w:val="Heading2"/>
        <w:pageBreakBefore w:val="0"/>
      </w:pPr>
      <w:r>
        <w:rPr>
          <w:rFonts w:ascii="Calibri" w:hAnsi="Calibri"/>
          <w:b/>
        </w:rPr>
        <w:t>7.3 Substitute property</w:t>
      </w:r>
    </w:p>
    <w:p>
      <w:pPr>
        <w:keepLines w:val="0"/>
        <w:widowControl/>
      </w:pPr>
      <w:r>
        <w:rPr>
          <w:rFonts w:ascii="Calibri" w:hAnsi="Calibri"/>
          <w:b w:val="0"/>
          <w:sz w:val="21"/>
        </w:rPr>
        <w:t>If the Company Interest has been sold, converted, redeemed, or otherwise replaced, the trustee shall distribute all substitute Trust Property, including unpaid rights and escrow claims, at the Handoff Time. Property not immediately transferable shall remain in a bare custodial or escrow capacity for Liam, with no discretionary power, until transfer is legally and practically completed.</w:t>
      </w:r>
    </w:p>
    <w:p>
      <w:pPr>
        <w:pStyle w:val="Heading2"/>
        <w:pageBreakBefore w:val="0"/>
      </w:pPr>
      <w:r>
        <w:rPr>
          <w:rFonts w:ascii="Calibri" w:hAnsi="Calibri"/>
          <w:b/>
        </w:rPr>
        <w:t>7.4 Closing administration</w:t>
      </w:r>
    </w:p>
    <w:p>
      <w:pPr>
        <w:keepLines w:val="0"/>
        <w:widowControl/>
      </w:pPr>
      <w:r>
        <w:rPr>
          <w:rFonts w:ascii="Calibri" w:hAnsi="Calibri"/>
          <w:b w:val="0"/>
          <w:sz w:val="21"/>
        </w:rPr>
        <w:t>The trustee may retain only a documented reasonable reserve for expenses, liabilities, taxes legally imposed on the Trust, and other tax payments expressly authorized by the final tax memorandum. Any reserve and all later recoveries shall be accounted for and distributed promptly to Liam. [COUNSEL AND CPA: define reserve cap, release deadline, tax forms, and final accounting.]</w:t>
      </w:r>
    </w:p>
    <w:p>
      <w:pPr>
        <w:pStyle w:val="Heading1"/>
        <w:pageBreakBefore w:val="0"/>
      </w:pPr>
      <w:r>
        <w:rPr>
          <w:rFonts w:ascii="Calibri" w:hAnsi="Calibri"/>
          <w:b/>
        </w:rPr>
        <w:t>Article 8 - Liam's death before the Handoff Time</w:t>
      </w:r>
    </w:p>
    <w:p>
      <w:pPr>
        <w:pStyle w:val="Heading2"/>
        <w:pageBreakBefore w:val="0"/>
      </w:pPr>
      <w:r>
        <w:rPr>
          <w:rFonts w:ascii="Calibri" w:hAnsi="Calibri"/>
          <w:b/>
        </w:rPr>
        <w:t>8.1 Divestment event</w:t>
      </w:r>
    </w:p>
    <w:p>
      <w:pPr>
        <w:keepLines w:val="0"/>
        <w:widowControl/>
      </w:pPr>
      <w:r>
        <w:rPr>
          <w:rFonts w:ascii="Calibri" w:hAnsi="Calibri"/>
          <w:b w:val="0"/>
          <w:sz w:val="21"/>
        </w:rPr>
        <w:t>If Liam dies before the Handoff Time, his beneficial interest terminates immediately and all Trust Property shifts to Lakshmi Delbel outright, subject to final Trust expenses and liabilities. The trustee shall cancel the Handoff Time escrow and complete a final accounting.</w:t>
      </w:r>
    </w:p>
    <w:p>
      <w:pPr>
        <w:pStyle w:val="Heading2"/>
        <w:pageBreakBefore w:val="0"/>
      </w:pPr>
      <w:r>
        <w:rPr>
          <w:rFonts w:ascii="Calibri" w:hAnsi="Calibri"/>
          <w:b/>
        </w:rPr>
        <w:t>8.2 Required unresolved contingency</w:t>
      </w:r>
    </w:p>
    <w:p>
      <w:pPr>
        <w:keepLines w:val="0"/>
        <w:widowControl/>
      </w:pPr>
      <w:r>
        <w:rPr>
          <w:rFonts w:ascii="Calibri" w:hAnsi="Calibri"/>
          <w:b w:val="0"/>
          <w:sz w:val="21"/>
        </w:rPr>
        <w:t>If Lakshmi does not survive Liam, if their order of death cannot be established, or if a simultaneous-death rule applies, the recipient is [COUNSEL: insert family-selected disposition after estate-planning review]. No drafter or fiduciary may infer a different recipient from silence.</w:t>
      </w:r>
    </w:p>
    <w:p>
      <w:pPr>
        <w:pStyle w:val="Heading2"/>
        <w:pageBreakBefore w:val="0"/>
      </w:pPr>
      <w:r>
        <w:rPr>
          <w:rFonts w:ascii="Calibri" w:hAnsi="Calibri"/>
          <w:b/>
        </w:rPr>
        <w:t>8.3 Evidence</w:t>
      </w:r>
    </w:p>
    <w:p>
      <w:pPr>
        <w:keepLines w:val="0"/>
        <w:widowControl/>
      </w:pPr>
      <w:r>
        <w:rPr>
          <w:rFonts w:ascii="Calibri" w:hAnsi="Calibri"/>
          <w:b w:val="0"/>
          <w:sz w:val="21"/>
        </w:rPr>
        <w:t>The trustee may rely on a certified death certificate or court order. [COUNSEL: address missing-person and presumed-death proceedings.]</w:t>
      </w:r>
    </w:p>
    <w:p>
      <w:pPr>
        <w:pStyle w:val="Heading1"/>
        <w:pageBreakBefore w:val="0"/>
      </w:pPr>
      <w:r>
        <w:rPr>
          <w:rFonts w:ascii="Calibri" w:hAnsi="Calibri"/>
          <w:b/>
        </w:rPr>
        <w:t>Article 9 - Spendthrift and creditor provisions</w:t>
      </w:r>
    </w:p>
    <w:p>
      <w:pPr>
        <w:keepLines w:val="0"/>
        <w:widowControl/>
      </w:pPr>
      <w:r>
        <w:rPr>
          <w:rFonts w:ascii="Calibri" w:hAnsi="Calibri"/>
          <w:b w:val="0"/>
          <w:sz w:val="21"/>
        </w:rPr>
        <w:t>Before the Handoff Time, Liam may not voluntarily or involuntarily transfer, pledge, assign, or encumber his beneficial interest, and a creditor may not compel a distribution except as nonwaivable law provides. The restriction ends when property becomes mandatorily distributable at the Handoff Time.</w:t>
      </w:r>
    </w:p>
    <w:p>
      <w:pPr>
        <w:pStyle w:val="Heading1"/>
        <w:pageBreakBefore w:val="0"/>
      </w:pPr>
      <w:r>
        <w:rPr>
          <w:rFonts w:ascii="Calibri" w:hAnsi="Calibri"/>
          <w:b/>
        </w:rPr>
        <w:t>Article 10 - Tax and accounting provisions</w:t>
      </w:r>
    </w:p>
    <w:p>
      <w:pPr>
        <w:widowControl/>
        <w:numPr>
          <w:ilvl w:val="0"/>
          <w:numId w:val="22"/>
        </w:numPr>
      </w:pPr>
      <w:r>
        <w:rPr>
          <w:rFonts w:ascii="Calibri" w:hAnsi="Calibri"/>
          <w:b/>
          <w:sz w:val="20"/>
        </w:rPr>
        <w:t>Income-tax ownership:</w:t>
      </w:r>
      <w:r>
        <w:rPr>
          <w:rFonts w:ascii="Calibri" w:hAnsi="Calibri"/>
          <w:b w:val="0"/>
          <w:sz w:val="20"/>
        </w:rPr>
        <w:t xml:space="preserve"> [TAX COUNSEL AND CPA: determine the resulting owner under Sections 671 through 678, including Section 673(b), retained trustee powers under Sections 674 through 677, and Section 678; identify the TIN, Form 1041 or grantor reporting, Schedule C, estimated-tax, self-employment-tax, and Form 8615 consequences. Tax status is not selected by label.]</w:t>
      </w:r>
    </w:p>
    <w:p>
      <w:pPr>
        <w:widowControl/>
        <w:numPr>
          <w:ilvl w:val="0"/>
          <w:numId w:val="22"/>
        </w:numPr>
      </w:pPr>
      <w:r>
        <w:rPr>
          <w:rFonts w:ascii="Calibri" w:hAnsi="Calibri"/>
          <w:b/>
          <w:sz w:val="20"/>
        </w:rPr>
        <w:t>Gift and basis:</w:t>
      </w:r>
      <w:r>
        <w:rPr>
          <w:rFonts w:ascii="Calibri" w:hAnsi="Calibri"/>
          <w:b w:val="0"/>
          <w:sz w:val="20"/>
        </w:rPr>
        <w:t xml:space="preserve"> [TAX COUNSEL AND CPA: determine whether and to what extent the transfer is a completed gift; value any retained or contingent interest; determine annual-exclusion present-interest treatment, Form 709 disclosure, donor/donee basis, and estate-inclusion consequences.]</w:t>
      </w:r>
    </w:p>
    <w:p>
      <w:pPr>
        <w:widowControl/>
        <w:numPr>
          <w:ilvl w:val="0"/>
          <w:numId w:val="22"/>
        </w:numPr>
      </w:pPr>
      <w:r>
        <w:rPr>
          <w:rFonts w:ascii="Calibri" w:hAnsi="Calibri"/>
          <w:b/>
          <w:sz w:val="20"/>
        </w:rPr>
        <w:t>S corporation:</w:t>
      </w:r>
      <w:r>
        <w:rPr>
          <w:rFonts w:ascii="Calibri" w:hAnsi="Calibri"/>
          <w:b w:val="0"/>
          <w:sz w:val="20"/>
        </w:rPr>
        <w:t xml:space="preserve"> No Form 2553 may be filed until tax counsel and the CPA confirm the actual shareholder, eligibility as a grantor trust or under another permitted trust category, any QSST or ESBT election, required consents, timing, and one-class-of-stock compliance.</w:t>
      </w:r>
    </w:p>
    <w:p>
      <w:pPr>
        <w:widowControl/>
        <w:numPr>
          <w:ilvl w:val="0"/>
          <w:numId w:val="22"/>
        </w:numPr>
      </w:pPr>
      <w:r>
        <w:rPr>
          <w:rFonts w:ascii="Calibri" w:hAnsi="Calibri"/>
          <w:b/>
          <w:sz w:val="20"/>
        </w:rPr>
        <w:t>Tax distributions:</w:t>
      </w:r>
      <w:r>
        <w:rPr>
          <w:rFonts w:ascii="Calibri" w:hAnsi="Calibri"/>
          <w:b w:val="0"/>
          <w:sz w:val="20"/>
        </w:rPr>
        <w:t xml:space="preserve"> Neither the Trust nor Company is required or permitted to reimburse a deemed tax owner until a written tax-distribution formula identifies the taxpayer, payee, cap, approval process, and gift/estate consequences.</w:t>
      </w:r>
    </w:p>
    <w:p>
      <w:pPr>
        <w:widowControl/>
        <w:numPr>
          <w:ilvl w:val="0"/>
          <w:numId w:val="22"/>
        </w:numPr>
      </w:pPr>
      <w:r>
        <w:rPr>
          <w:rFonts w:ascii="Calibri" w:hAnsi="Calibri"/>
          <w:b/>
          <w:sz w:val="20"/>
        </w:rPr>
        <w:t>Books:</w:t>
      </w:r>
      <w:r>
        <w:rPr>
          <w:rFonts w:ascii="Calibri" w:hAnsi="Calibri"/>
          <w:b w:val="0"/>
          <w:sz w:val="20"/>
        </w:rPr>
        <w:t xml:space="preserve"> Trust and Company books, bank accounts, and tax records must remain separate.</w:t>
      </w:r>
    </w:p>
    <w:p>
      <w:pPr>
        <w:widowControl/>
        <w:numPr>
          <w:ilvl w:val="0"/>
          <w:numId w:val="22"/>
        </w:numPr>
      </w:pPr>
      <w:r>
        <w:rPr>
          <w:rFonts w:ascii="Calibri" w:hAnsi="Calibri"/>
          <w:b/>
          <w:sz w:val="20"/>
        </w:rPr>
        <w:t>No tax warranty:</w:t>
      </w:r>
      <w:r>
        <w:rPr>
          <w:rFonts w:ascii="Calibri" w:hAnsi="Calibri"/>
          <w:b w:val="0"/>
          <w:sz w:val="20"/>
        </w:rPr>
        <w:t xml:space="preserve"> No party promises a particular tax result.</w:t>
      </w:r>
    </w:p>
    <w:p>
      <w:pPr>
        <w:pStyle w:val="Heading1"/>
        <w:pageBreakBefore w:val="0"/>
      </w:pPr>
      <w:r>
        <w:rPr>
          <w:rFonts w:ascii="Calibri" w:hAnsi="Calibri"/>
          <w:b/>
        </w:rPr>
        <w:t>Article 11 - Administrative provisions</w:t>
      </w:r>
    </w:p>
    <w:p>
      <w:pPr>
        <w:widowControl/>
        <w:numPr>
          <w:ilvl w:val="0"/>
          <w:numId w:val="23"/>
        </w:numPr>
      </w:pPr>
      <w:r>
        <w:rPr>
          <w:rFonts w:ascii="Calibri" w:hAnsi="Calibri"/>
          <w:b/>
          <w:sz w:val="20"/>
        </w:rPr>
        <w:t>Governing law and situs:</w:t>
      </w:r>
      <w:r>
        <w:rPr>
          <w:rFonts w:ascii="Calibri" w:hAnsi="Calibri"/>
          <w:b w:val="0"/>
          <w:sz w:val="20"/>
        </w:rPr>
        <w:t xml:space="preserve"> Georgia, subject to [COUNSEL: situs and court selection].</w:t>
      </w:r>
    </w:p>
    <w:p>
      <w:pPr>
        <w:widowControl/>
        <w:numPr>
          <w:ilvl w:val="0"/>
          <w:numId w:val="23"/>
        </w:numPr>
      </w:pPr>
      <w:r>
        <w:rPr>
          <w:rFonts w:ascii="Calibri" w:hAnsi="Calibri"/>
          <w:b/>
          <w:sz w:val="20"/>
        </w:rPr>
        <w:t>Principal place of administration:</w:t>
      </w:r>
      <w:r>
        <w:rPr>
          <w:rFonts w:ascii="Calibri" w:hAnsi="Calibri"/>
          <w:b w:val="0"/>
          <w:sz w:val="20"/>
        </w:rPr>
        <w:t xml:space="preserve"> [COUNSEL: address].</w:t>
      </w:r>
    </w:p>
    <w:p>
      <w:pPr>
        <w:widowControl/>
        <w:numPr>
          <w:ilvl w:val="0"/>
          <w:numId w:val="23"/>
        </w:numPr>
      </w:pPr>
      <w:r>
        <w:rPr>
          <w:rFonts w:ascii="Calibri" w:hAnsi="Calibri"/>
          <w:b/>
          <w:sz w:val="20"/>
        </w:rPr>
        <w:t>Notices:</w:t>
      </w:r>
      <w:r>
        <w:rPr>
          <w:rFonts w:ascii="Calibri" w:hAnsi="Calibri"/>
          <w:b w:val="0"/>
          <w:sz w:val="20"/>
        </w:rPr>
        <w:t xml:space="preserve"> [COUNSEL: method and addresses].</w:t>
      </w:r>
    </w:p>
    <w:p>
      <w:pPr>
        <w:widowControl/>
        <w:numPr>
          <w:ilvl w:val="0"/>
          <w:numId w:val="23"/>
        </w:numPr>
      </w:pPr>
      <w:r>
        <w:rPr>
          <w:rFonts w:ascii="Calibri" w:hAnsi="Calibri"/>
          <w:b/>
          <w:sz w:val="20"/>
        </w:rPr>
        <w:t>Confidentiality:</w:t>
      </w:r>
      <w:r>
        <w:rPr>
          <w:rFonts w:ascii="Calibri" w:hAnsi="Calibri"/>
          <w:b w:val="0"/>
          <w:sz w:val="20"/>
        </w:rPr>
        <w:t xml:space="preserve"> Trust records may be disclosed to lawful advisors, regulators, courts, banks, and platforms as reasonably required.</w:t>
      </w:r>
    </w:p>
    <w:p>
      <w:pPr>
        <w:widowControl/>
        <w:numPr>
          <w:ilvl w:val="0"/>
          <w:numId w:val="23"/>
        </w:numPr>
      </w:pPr>
      <w:r>
        <w:rPr>
          <w:rFonts w:ascii="Calibri" w:hAnsi="Calibri"/>
          <w:b/>
          <w:sz w:val="20"/>
        </w:rPr>
        <w:t>Severability and reformation:</w:t>
      </w:r>
      <w:r>
        <w:rPr>
          <w:rFonts w:ascii="Calibri" w:hAnsi="Calibri"/>
          <w:b w:val="0"/>
          <w:sz w:val="20"/>
        </w:rPr>
        <w:t xml:space="preserve"> Invalid terms shall be reformed only to preserve the fixed material purposes.</w:t>
      </w:r>
    </w:p>
    <w:p>
      <w:pPr>
        <w:widowControl/>
        <w:numPr>
          <w:ilvl w:val="0"/>
          <w:numId w:val="23"/>
        </w:numPr>
      </w:pPr>
      <w:r>
        <w:rPr>
          <w:rFonts w:ascii="Calibri" w:hAnsi="Calibri"/>
          <w:b/>
          <w:sz w:val="20"/>
        </w:rPr>
        <w:t>Counterparts and electronic signatures:</w:t>
      </w:r>
      <w:r>
        <w:rPr>
          <w:rFonts w:ascii="Calibri" w:hAnsi="Calibri"/>
          <w:b w:val="0"/>
          <w:sz w:val="20"/>
        </w:rPr>
        <w:t xml:space="preserve"> [COUNSEL: confirm permitted method and notarization/witness needs].</w:t>
      </w:r>
    </w:p>
    <w:p>
      <w:pPr>
        <w:widowControl/>
        <w:numPr>
          <w:ilvl w:val="0"/>
          <w:numId w:val="23"/>
        </w:numPr>
      </w:pPr>
      <w:r>
        <w:rPr>
          <w:rFonts w:ascii="Calibri" w:hAnsi="Calibri"/>
          <w:b/>
          <w:sz w:val="20"/>
        </w:rPr>
        <w:t>Headings:</w:t>
      </w:r>
      <w:r>
        <w:rPr>
          <w:rFonts w:ascii="Calibri" w:hAnsi="Calibri"/>
          <w:b w:val="0"/>
          <w:sz w:val="20"/>
        </w:rPr>
        <w:t xml:space="preserve"> For convenience only.</w:t>
      </w:r>
    </w:p>
    <w:p>
      <w:pPr>
        <w:pStyle w:val="Heading1"/>
        <w:pageBreakBefore/>
      </w:pPr>
      <w:r>
        <w:rPr>
          <w:rFonts w:ascii="Calibri" w:hAnsi="Calibri"/>
          <w:b/>
        </w:rPr>
        <w:t>Schedule 2-A - Initial Trust Property</w:t>
      </w:r>
    </w:p>
    <w:p>
      <w:pPr>
        <w:widowControl/>
        <w:numPr>
          <w:ilvl w:val="0"/>
          <w:numId w:val="24"/>
        </w:numPr>
      </w:pPr>
      <w:r>
        <w:rPr>
          <w:rFonts w:ascii="Calibri" w:hAnsi="Calibri"/>
          <w:b w:val="0"/>
          <w:sz w:val="20"/>
        </w:rPr>
        <w:t>[COUNSEL: nominal seed property and receipt].</w:t>
      </w:r>
    </w:p>
    <w:p>
      <w:pPr>
        <w:widowControl/>
        <w:numPr>
          <w:ilvl w:val="0"/>
          <w:numId w:val="24"/>
        </w:numPr>
      </w:pPr>
      <w:r>
        <w:rPr>
          <w:rFonts w:ascii="Calibri" w:hAnsi="Calibri"/>
          <w:b w:val="0"/>
          <w:sz w:val="20"/>
        </w:rPr>
        <w:t>Upon Instrument 3 effectiveness, 100 percent of the membership interest in Caisson Software LLC.</w:t>
      </w:r>
    </w:p>
    <w:p>
      <w:pPr>
        <w:widowControl/>
        <w:numPr>
          <w:ilvl w:val="0"/>
          <w:numId w:val="24"/>
        </w:numPr>
      </w:pPr>
      <w:r>
        <w:rPr>
          <w:rFonts w:ascii="Calibri" w:hAnsi="Calibri"/>
          <w:b w:val="0"/>
          <w:sz w:val="20"/>
        </w:rPr>
        <w:t>Every distribution, substitution, and proceed described in this agreement.</w:t>
      </w:r>
    </w:p>
    <w:p>
      <w:pPr>
        <w:pStyle w:val="Heading1"/>
        <w:pageBreakBefore/>
      </w:pPr>
      <w:r>
        <w:rPr>
          <w:rFonts w:ascii="Calibri" w:hAnsi="Calibri"/>
          <w:b/>
        </w:rPr>
        <w:t>Schedule 2-B - Fiduciaries and advisors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300"/>
        <w:gridCol w:w="2500"/>
        <w:gridCol w:w="2760"/>
        <w:gridCol w:w="2800"/>
      </w:tblGrid>
      <w:tr>
        <w:trPr>
          <w:cantSplit w:val="true"/>
          <w:tblHeader w:val="true"/>
        </w:trPr>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Role</w:t>
            </w:r>
          </w:p>
        </w:tc>
        <w:tc>
          <w:tcPr>
            <w:tcW w:type="dxa" w:w="2500"/>
            <w:vAlign w:val="center"/>
            <w:shd w:fill="1F4D78"/>
            <w:tcMar>
              <w:top w:w="80" w:type="dxa"/>
              <w:bottom w:w="80" w:type="dxa"/>
              <w:start w:w="120" w:type="dxa"/>
              <w:end w:w="120" w:type="dxa"/>
            </w:tcMar>
          </w:tcPr>
          <w:p>
            <w:pPr>
              <w:pStyle w:val="TableText"/>
              <w:jc w:val="left"/>
            </w:pPr>
            <w:r>
              <w:rPr>
                <w:rFonts w:ascii="Calibri" w:hAnsi="Calibri"/>
                <w:b/>
                <w:color w:val="FFFFFF"/>
                <w:sz w:val="17"/>
              </w:rPr>
              <w:t>Name and firm</w:t>
            </w:r>
          </w:p>
        </w:tc>
        <w:tc>
          <w:tcPr>
            <w:tcW w:type="dxa" w:w="2760"/>
            <w:vAlign w:val="center"/>
            <w:shd w:fill="1F4D78"/>
            <w:tcMar>
              <w:top w:w="80" w:type="dxa"/>
              <w:bottom w:w="80" w:type="dxa"/>
              <w:start w:w="120" w:type="dxa"/>
              <w:end w:w="120" w:type="dxa"/>
            </w:tcMar>
          </w:tcPr>
          <w:p>
            <w:pPr>
              <w:pStyle w:val="TableText"/>
              <w:jc w:val="left"/>
            </w:pPr>
            <w:r>
              <w:rPr>
                <w:rFonts w:ascii="Calibri" w:hAnsi="Calibri"/>
                <w:b/>
                <w:color w:val="FFFFFF"/>
                <w:sz w:val="17"/>
              </w:rPr>
              <w:t>Address/contact</w:t>
            </w:r>
          </w:p>
        </w:tc>
        <w:tc>
          <w:tcPr>
            <w:tcW w:type="dxa" w:w="2800"/>
            <w:vAlign w:val="center"/>
            <w:shd w:fill="1F4D78"/>
            <w:tcMar>
              <w:top w:w="80" w:type="dxa"/>
              <w:bottom w:w="80" w:type="dxa"/>
              <w:start w:w="120" w:type="dxa"/>
              <w:end w:w="120" w:type="dxa"/>
            </w:tcMar>
          </w:tcPr>
          <w:p>
            <w:pPr>
              <w:pStyle w:val="TableText"/>
              <w:jc w:val="left"/>
            </w:pPr>
            <w:r>
              <w:rPr>
                <w:rFonts w:ascii="Calibri" w:hAnsi="Calibri"/>
                <w:b/>
                <w:color w:val="FFFFFF"/>
                <w:sz w:val="17"/>
              </w:rPr>
              <w:t>Acceptance/effective event</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Settlor/initial trustee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Lakshmi Delbel</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[COUNSEL]</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Successor trustee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Vik Thadani</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Death, Incapacity, resignation, removal, or inability of Lakshmi</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Professional fallback</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Vik unavailable or ceases to serve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Trust counsel</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[COUNSEL]</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Liam's independent counsel</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[COUNSEL]</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CPA/tax advisor</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[CPA]</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[CPA]</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Valuation professional</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[COUNSEL/CPA]</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[COUNSEL/CPA]</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[COUNSEL/CPA]</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Escrow holder</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Instrument 8 delivery</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supply the settlor, trustee, witness, notary, acceptance, and funding formalities required for a valid express trust.</w:t>
      </w:r>
    </w:p>
    <w:p>
      <w:pPr>
        <w:pStyle w:val="Heading1"/>
        <w:pageBreakBefore/>
      </w:pPr>
      <w:r>
        <w:rPr>
          <w:rFonts w:ascii="Calibri" w:hAnsi="Calibri"/>
          <w:b/>
        </w:rPr>
        <w:t>Instrument 3 - Assignment of 100 Percent LLC Interest to Trustee</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1. Parties and capacity</w:t>
      </w:r>
    </w:p>
    <w:p>
      <w:pPr>
        <w:widowControl/>
        <w:numPr>
          <w:ilvl w:val="0"/>
          <w:numId w:val="25"/>
        </w:numPr>
      </w:pPr>
      <w:r>
        <w:rPr>
          <w:rFonts w:ascii="Calibri" w:hAnsi="Calibri"/>
          <w:b/>
          <w:sz w:val="20"/>
        </w:rPr>
        <w:t>Assignor:</w:t>
      </w:r>
      <w:r>
        <w:rPr>
          <w:rFonts w:ascii="Calibri" w:hAnsi="Calibri"/>
          <w:b w:val="0"/>
          <w:sz w:val="20"/>
        </w:rPr>
        <w:t xml:space="preserve"> Lakshmi Delbel, individually, as the person identified as sole member in the signed organizer resolution and available Company records, subject to counsel confirmation.</w:t>
      </w:r>
    </w:p>
    <w:p>
      <w:pPr>
        <w:widowControl/>
        <w:numPr>
          <w:ilvl w:val="0"/>
          <w:numId w:val="25"/>
        </w:numPr>
      </w:pPr>
      <w:r>
        <w:rPr>
          <w:rFonts w:ascii="Calibri" w:hAnsi="Calibri"/>
          <w:b/>
          <w:sz w:val="20"/>
        </w:rPr>
        <w:t>Assignee:</w:t>
      </w:r>
      <w:r>
        <w:rPr>
          <w:rFonts w:ascii="Calibri" w:hAnsi="Calibri"/>
          <w:b w:val="0"/>
          <w:sz w:val="20"/>
        </w:rPr>
        <w:t xml:space="preserve"> Lakshmi Delbel, solely as trustee of the Caisson Interest Trust dated [date].</w:t>
      </w:r>
    </w:p>
    <w:p>
      <w:pPr>
        <w:widowControl/>
        <w:numPr>
          <w:ilvl w:val="0"/>
          <w:numId w:val="25"/>
        </w:numPr>
      </w:pPr>
      <w:r>
        <w:rPr>
          <w:rFonts w:ascii="Calibri" w:hAnsi="Calibri"/>
          <w:b/>
          <w:sz w:val="20"/>
        </w:rPr>
        <w:t>Company:</w:t>
      </w:r>
      <w:r>
        <w:rPr>
          <w:rFonts w:ascii="Calibri" w:hAnsi="Calibri"/>
          <w:b w:val="0"/>
          <w:sz w:val="20"/>
        </w:rPr>
        <w:t xml:space="preserve"> Caisson Software LLC, acknowledging only as stated below.</w:t>
      </w:r>
    </w:p>
    <w:p>
      <w:pPr>
        <w:keepLines w:val="0"/>
        <w:widowControl/>
      </w:pPr>
      <w:r>
        <w:rPr>
          <w:rFonts w:ascii="Calibri" w:hAnsi="Calibri"/>
          <w:b w:val="0"/>
          <w:sz w:val="21"/>
        </w:rPr>
        <w:t>The capacities are separate even though the same individual initially acts in both.</w:t>
      </w:r>
    </w:p>
    <w:p>
      <w:pPr>
        <w:pStyle w:val="Heading1"/>
        <w:pageBreakBefore w:val="0"/>
      </w:pPr>
      <w:r>
        <w:rPr>
          <w:rFonts w:ascii="Calibri" w:hAnsi="Calibri"/>
          <w:b/>
        </w:rPr>
        <w:t>2. Assignment</w:t>
      </w:r>
    </w:p>
    <w:p>
      <w:pPr>
        <w:keepLines w:val="0"/>
        <w:widowControl/>
      </w:pPr>
      <w:r>
        <w:rPr>
          <w:rFonts w:ascii="Calibri" w:hAnsi="Calibri"/>
          <w:b w:val="0"/>
          <w:sz w:val="21"/>
        </w:rPr>
        <w:t>For [COUNSEL AND CPA: consideration and transfer characterization], Assignor hereby assigns, transfers, conveys, and delivers to Assignee, in trust, all of Assignor's right, title, and interest in and to 100 percent of the membership interest in the Company, including all economic rights and, upon admission under Instrument 4, all governance, voting, consent, information, and member rights.</w:t>
      </w:r>
    </w:p>
    <w:p>
      <w:pPr>
        <w:keepLines w:val="0"/>
        <w:widowControl/>
      </w:pPr>
      <w:r>
        <w:rPr>
          <w:rFonts w:ascii="Calibri" w:hAnsi="Calibri"/>
          <w:b w:val="0"/>
          <w:sz w:val="21"/>
        </w:rPr>
        <w:t>The assignment includes distributions declared or paid after [COUNSEL: effective time], proceeds, substitutions, claims incident to the interest, and certificates or ledger rights. It reserves no discretionary power in Lakshmi individually. The Trust separately creates the fixed pre-Handoff death disposition and whatever contingent or reversionary interest counsel determines results. This assignment does not characterize that interest for gift, income, or estate-tax purposes.</w:t>
      </w:r>
    </w:p>
    <w:p>
      <w:pPr>
        <w:pStyle w:val="Heading1"/>
        <w:pageBreakBefore w:val="0"/>
      </w:pPr>
      <w:r>
        <w:rPr>
          <w:rFonts w:ascii="Calibri" w:hAnsi="Calibri"/>
          <w:b/>
        </w:rPr>
        <w:t>3. Effective time and coordinated admission</w:t>
      </w:r>
    </w:p>
    <w:p>
      <w:pPr>
        <w:keepLines w:val="0"/>
        <w:widowControl/>
      </w:pPr>
      <w:r>
        <w:rPr>
          <w:rFonts w:ascii="Calibri" w:hAnsi="Calibri"/>
          <w:b w:val="0"/>
          <w:sz w:val="21"/>
        </w:rPr>
        <w:t>This assignment becomes effective at [COUNSEL: date and time], but shall be delivered and recorded only as part of the coordinated closing with Instruments 2 and 4. The parties acknowledge that an assignment of economic rights alone may not admit an assignee as a member under O.C.G.A. Sections 14-11-502, 14-11-503, and 14-11-505. Instrument 4 supplies the current member consent, assignee consent, admission, and Company record update.</w:t>
      </w:r>
    </w:p>
    <w:p>
      <w:pPr>
        <w:pStyle w:val="Heading1"/>
        <w:pageBreakBefore w:val="0"/>
      </w:pPr>
      <w:r>
        <w:rPr>
          <w:rFonts w:ascii="Calibri" w:hAnsi="Calibri"/>
          <w:b/>
        </w:rPr>
        <w:t>4. Limited representations</w:t>
      </w:r>
    </w:p>
    <w:p>
      <w:pPr>
        <w:keepLines w:val="0"/>
        <w:widowControl/>
      </w:pPr>
      <w:r>
        <w:rPr>
          <w:rFonts w:ascii="Calibri" w:hAnsi="Calibri"/>
          <w:b w:val="0"/>
          <w:sz w:val="21"/>
        </w:rPr>
        <w:t>Assignor represents only that, based on the reviewed Company records and except as listed on Schedule 3-A:</w:t>
      </w:r>
    </w:p>
    <w:p>
      <w:pPr>
        <w:widowControl/>
        <w:numPr>
          <w:ilvl w:val="0"/>
          <w:numId w:val="26"/>
        </w:numPr>
      </w:pPr>
      <w:r>
        <w:rPr>
          <w:rFonts w:ascii="Calibri" w:hAnsi="Calibri"/>
          <w:b w:val="0"/>
          <w:sz w:val="20"/>
        </w:rPr>
        <w:t>she is identified as the sole member in the signed organizer resolution and available Company records, and no contrary ownership record has been located;</w:t>
      </w:r>
    </w:p>
    <w:p>
      <w:pPr>
        <w:widowControl/>
        <w:numPr>
          <w:ilvl w:val="0"/>
          <w:numId w:val="26"/>
        </w:numPr>
      </w:pPr>
      <w:r>
        <w:rPr>
          <w:rFonts w:ascii="Calibri" w:hAnsi="Calibri"/>
          <w:b w:val="0"/>
          <w:sz w:val="20"/>
        </w:rPr>
        <w:t>she has not knowingly executed a conflicting transfer, pledge, option, or admission;</w:t>
      </w:r>
    </w:p>
    <w:p>
      <w:pPr>
        <w:widowControl/>
        <w:numPr>
          <w:ilvl w:val="0"/>
          <w:numId w:val="26"/>
        </w:numPr>
      </w:pPr>
      <w:r>
        <w:rPr>
          <w:rFonts w:ascii="Calibri" w:hAnsi="Calibri"/>
          <w:b w:val="0"/>
          <w:sz w:val="20"/>
        </w:rPr>
        <w:t>she has not knowingly granted a lien on the Company interest; and</w:t>
      </w:r>
    </w:p>
    <w:p>
      <w:pPr>
        <w:widowControl/>
        <w:numPr>
          <w:ilvl w:val="0"/>
          <w:numId w:val="26"/>
        </w:numPr>
      </w:pPr>
      <w:r>
        <w:rPr>
          <w:rFonts w:ascii="Calibri" w:hAnsi="Calibri"/>
          <w:b w:val="0"/>
          <w:sz w:val="20"/>
        </w:rPr>
        <w:t>she will disclose any contrary claim immediately.</w:t>
      </w:r>
    </w:p>
    <w:p>
      <w:pPr>
        <w:keepLines w:val="0"/>
        <w:widowControl/>
      </w:pPr>
      <w:r>
        <w:rPr>
          <w:rFonts w:ascii="Calibri" w:hAnsi="Calibri"/>
          <w:b w:val="0"/>
          <w:sz w:val="21"/>
        </w:rPr>
        <w:t>Assignor does not represent in this instrument that:</w:t>
      </w:r>
    </w:p>
    <w:p>
      <w:pPr>
        <w:widowControl/>
        <w:numPr>
          <w:ilvl w:val="0"/>
          <w:numId w:val="27"/>
        </w:numPr>
      </w:pPr>
      <w:r>
        <w:rPr>
          <w:rFonts w:ascii="Calibri" w:hAnsi="Calibri"/>
          <w:b w:val="0"/>
          <w:sz w:val="20"/>
        </w:rPr>
        <w:t>the Company owns Liam's historical intellectual property;</w:t>
      </w:r>
    </w:p>
    <w:p>
      <w:pPr>
        <w:widowControl/>
        <w:numPr>
          <w:ilvl w:val="0"/>
          <w:numId w:val="27"/>
        </w:numPr>
      </w:pPr>
      <w:r>
        <w:rPr>
          <w:rFonts w:ascii="Calibri" w:hAnsi="Calibri"/>
          <w:b w:val="0"/>
          <w:sz w:val="20"/>
        </w:rPr>
        <w:t>GridWork Digital LLC transferred any asset;</w:t>
      </w:r>
    </w:p>
    <w:p>
      <w:pPr>
        <w:widowControl/>
        <w:numPr>
          <w:ilvl w:val="0"/>
          <w:numId w:val="27"/>
        </w:numPr>
      </w:pPr>
      <w:r>
        <w:rPr>
          <w:rFonts w:ascii="Calibri" w:hAnsi="Calibri"/>
          <w:b w:val="0"/>
          <w:sz w:val="20"/>
        </w:rPr>
        <w:t>all public license or copyright statements were authorized;</w:t>
      </w:r>
    </w:p>
    <w:p>
      <w:pPr>
        <w:widowControl/>
        <w:numPr>
          <w:ilvl w:val="0"/>
          <w:numId w:val="27"/>
        </w:numPr>
      </w:pPr>
      <w:r>
        <w:rPr>
          <w:rFonts w:ascii="Calibri" w:hAnsi="Calibri"/>
          <w:b w:val="0"/>
          <w:sz w:val="20"/>
        </w:rPr>
        <w:t>all father-funded spending has a particular legal or tax classification;</w:t>
      </w:r>
    </w:p>
    <w:p>
      <w:pPr>
        <w:widowControl/>
        <w:numPr>
          <w:ilvl w:val="0"/>
          <w:numId w:val="27"/>
        </w:numPr>
      </w:pPr>
      <w:r>
        <w:rPr>
          <w:rFonts w:ascii="Calibri" w:hAnsi="Calibri"/>
          <w:b w:val="0"/>
          <w:sz w:val="20"/>
        </w:rPr>
        <w:t>no third party has a claim arising from a dependency, predecessor repository, school, platform, or AI service; or</w:t>
      </w:r>
    </w:p>
    <w:p>
      <w:pPr>
        <w:widowControl/>
        <w:numPr>
          <w:ilvl w:val="0"/>
          <w:numId w:val="27"/>
        </w:numPr>
      </w:pPr>
      <w:r>
        <w:rPr>
          <w:rFonts w:ascii="Calibri" w:hAnsi="Calibri"/>
          <w:b w:val="0"/>
          <w:sz w:val="20"/>
        </w:rPr>
        <w:t>the transfer has a particular tax effect or value.</w:t>
      </w:r>
    </w:p>
    <w:p>
      <w:pPr>
        <w:pStyle w:val="Heading1"/>
        <w:pageBreakBefore w:val="0"/>
      </w:pPr>
      <w:r>
        <w:rPr>
          <w:rFonts w:ascii="Calibri" w:hAnsi="Calibri"/>
          <w:b/>
        </w:rPr>
        <w:t>5. Irrevocability and no retained control</w:t>
      </w:r>
    </w:p>
    <w:p>
      <w:pPr>
        <w:keepLines w:val="0"/>
        <w:widowControl/>
      </w:pPr>
      <w:r>
        <w:rPr>
          <w:rFonts w:ascii="Calibri" w:hAnsi="Calibri"/>
          <w:b w:val="0"/>
          <w:sz w:val="21"/>
        </w:rPr>
        <w:t>After effectiveness, Assignor has no individual right to revoke, reclaim, sell, pledge, vote, redirect, or otherwise dispose of the Company interest. Any authority Lakshmi exercises thereafter is solely in the separately identified capacity of trustee or manager and is governed by those fiduciary documents.</w:t>
      </w:r>
    </w:p>
    <w:p>
      <w:pPr>
        <w:pStyle w:val="Heading1"/>
        <w:pageBreakBefore w:val="0"/>
      </w:pPr>
      <w:r>
        <w:rPr>
          <w:rFonts w:ascii="Calibri" w:hAnsi="Calibri"/>
          <w:b/>
        </w:rPr>
        <w:t>6. Further assurances</w:t>
      </w:r>
    </w:p>
    <w:p>
      <w:pPr>
        <w:keepLines w:val="0"/>
        <w:widowControl/>
      </w:pPr>
      <w:r>
        <w:rPr>
          <w:rFonts w:ascii="Calibri" w:hAnsi="Calibri"/>
          <w:b w:val="0"/>
          <w:sz w:val="21"/>
        </w:rPr>
        <w:t>Assignor shall execute reasonable ministerial documents needed to evidence the transfer, subject to counsel review. No further-assurances clause permits a change to beneficial ownership or the Handoff Time.</w:t>
      </w:r>
    </w:p>
    <w:p>
      <w:pPr>
        <w:pStyle w:val="Heading1"/>
        <w:pageBreakBefore w:val="0"/>
      </w:pPr>
      <w:r>
        <w:rPr>
          <w:rFonts w:ascii="Calibri" w:hAnsi="Calibri"/>
          <w:b/>
        </w:rPr>
        <w:t>7. Tax, valuation, and reporting</w:t>
      </w:r>
    </w:p>
    <w:p>
      <w:pPr>
        <w:keepLines w:val="0"/>
        <w:widowControl/>
      </w:pPr>
      <w:r>
        <w:rPr>
          <w:rFonts w:ascii="Calibri" w:hAnsi="Calibri"/>
          <w:b w:val="0"/>
          <w:sz w:val="21"/>
        </w:rPr>
        <w:t>[COUNSEL AND CPA: insert valuation, gift-completion, Form 709, basis, and reporting instructions.] This is an owner-level transfer. The Company shall record the member change but shall not record income, expense, sale consideration, or a capital contribution solely because of the transfer. The CPA may update tax-owner, capital, or basis records only as the final tax analysis requires.</w:t>
      </w:r>
    </w:p>
    <w:p>
      <w:pPr>
        <w:pStyle w:val="Heading1"/>
        <w:pageBreakBefore w:val="0"/>
      </w:pPr>
      <w:r>
        <w:rPr>
          <w:rFonts w:ascii="Calibri" w:hAnsi="Calibri"/>
          <w:b/>
        </w:rPr>
        <w:t>8. Company acknowledgement</w:t>
      </w:r>
    </w:p>
    <w:p>
      <w:pPr>
        <w:keepLines w:val="0"/>
        <w:widowControl/>
      </w:pPr>
      <w:r>
        <w:rPr>
          <w:rFonts w:ascii="Calibri" w:hAnsi="Calibri"/>
          <w:b w:val="0"/>
          <w:sz w:val="21"/>
        </w:rPr>
        <w:t>The Company acknowledges receipt of this assignment and shall update its ledger only upon effectiveness of Instrument 4. Acknowledgement is not a warranty of title to any Company asset.</w:t>
      </w:r>
    </w:p>
    <w:p>
      <w:pPr>
        <w:pStyle w:val="Heading1"/>
        <w:pageBreakBefore/>
      </w:pPr>
      <w:r>
        <w:rPr>
          <w:rFonts w:ascii="Calibri" w:hAnsi="Calibri"/>
          <w:b/>
        </w:rPr>
        <w:t>Schedule 3-A - Exceptions and record matters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800"/>
        <w:gridCol w:w="3400"/>
        <w:gridCol w:w="4160"/>
      </w:tblGrid>
      <w:tr>
        <w:trPr>
          <w:cantSplit w:val="true"/>
          <w:tblHeader w:val="true"/>
        </w:trPr>
        <w:tc>
          <w:tcPr>
            <w:tcW w:type="dxa" w:w="1800"/>
            <w:vAlign w:val="center"/>
            <w:shd w:fill="1F4D78"/>
            <w:tcMar>
              <w:top w:w="80" w:type="dxa"/>
              <w:bottom w:w="80" w:type="dxa"/>
              <w:start w:w="120" w:type="dxa"/>
              <w:end w:w="120" w:type="dxa"/>
            </w:tcMar>
          </w:tcPr>
          <w:p>
            <w:pPr>
              <w:pStyle w:val="TableText"/>
              <w:jc w:val="left"/>
            </w:pPr>
            <w:r>
              <w:rPr>
                <w:rFonts w:ascii="Calibri" w:hAnsi="Calibri"/>
                <w:b/>
                <w:color w:val="FFFFFF"/>
                <w:sz w:val="17"/>
              </w:rPr>
              <w:t>Matter</w:t>
            </w:r>
          </w:p>
        </w:tc>
        <w:tc>
          <w:tcPr>
            <w:tcW w:type="dxa" w:w="3400"/>
            <w:vAlign w:val="center"/>
            <w:shd w:fill="1F4D78"/>
            <w:tcMar>
              <w:top w:w="80" w:type="dxa"/>
              <w:bottom w:w="80" w:type="dxa"/>
              <w:start w:w="120" w:type="dxa"/>
              <w:end w:w="120" w:type="dxa"/>
            </w:tcMar>
          </w:tcPr>
          <w:p>
            <w:pPr>
              <w:pStyle w:val="TableText"/>
              <w:jc w:val="left"/>
            </w:pPr>
            <w:r>
              <w:rPr>
                <w:rFonts w:ascii="Calibri" w:hAnsi="Calibri"/>
                <w:b/>
                <w:color w:val="FFFFFF"/>
                <w:sz w:val="17"/>
              </w:rPr>
              <w:t>Status</w:t>
            </w:r>
          </w:p>
        </w:tc>
        <w:tc>
          <w:tcPr>
            <w:tcW w:type="dxa" w:w="4160"/>
            <w:vAlign w:val="center"/>
            <w:shd w:fill="1F4D78"/>
            <w:tcMar>
              <w:top w:w="80" w:type="dxa"/>
              <w:bottom w:w="80" w:type="dxa"/>
              <w:start w:w="120" w:type="dxa"/>
              <w:end w:w="120" w:type="dxa"/>
            </w:tcMar>
          </w:tcPr>
          <w:p>
            <w:pPr>
              <w:pStyle w:val="TableText"/>
              <w:jc w:val="left"/>
            </w:pPr>
            <w:r>
              <w:rPr>
                <w:rFonts w:ascii="Calibri" w:hAnsi="Calibri"/>
                <w:b/>
                <w:color w:val="FFFFFF"/>
                <w:sz w:val="17"/>
              </w:rPr>
              <w:t>Required resolution</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Organizer and vendor-form governance</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Historical effect under counsel review</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1 and final OA</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Book equity or opening capital</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Amount not fixed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CPA opening ledger</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Owner outside basis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Not a Company-book account</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Separate CPA tax workpaper</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Company asset basis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Not reconstructed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Separate CPA tax workpaper</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Historical contribution, if any</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Description and date not established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Evidence review and CPA/counsel schedule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Father-funded startup costs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Not classified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Separate CPA/legal workstream</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Historical IP</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No complete executed assignment supplied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9 and any independent/court process</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Platform representations</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Mercury and Paddle have not been submitted; other account holders remain to be confirmed</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Platform schedule and update review</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supply final assignment, acceptance, spouse/family-law consent if relevant, notary, valuation, and tax language.</w:t>
      </w:r>
    </w:p>
    <w:p>
      <w:pPr>
        <w:pStyle w:val="Heading1"/>
        <w:pageBreakBefore/>
      </w:pPr>
      <w:r>
        <w:rPr>
          <w:rFonts w:ascii="Calibri" w:hAnsi="Calibri"/>
          <w:b/>
        </w:rPr>
        <w:t>Instrument 4 - Trustee Admission and Company Record Update</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1. Purpose</w:t>
      </w:r>
    </w:p>
    <w:p>
      <w:pPr>
        <w:keepLines w:val="0"/>
        <w:widowControl/>
      </w:pPr>
      <w:r>
        <w:rPr>
          <w:rFonts w:ascii="Calibri" w:hAnsi="Calibri"/>
          <w:b w:val="0"/>
          <w:sz w:val="21"/>
        </w:rPr>
        <w:t>This written consent coordinates the transfer of economic rights under Instrument 3 with admission of the trustee as the Company's sole member. It is intended to avoid leaving the trustee as an economic assignee without governance rights.</w:t>
      </w:r>
    </w:p>
    <w:p>
      <w:pPr>
        <w:pStyle w:val="Heading1"/>
        <w:pageBreakBefore w:val="0"/>
      </w:pPr>
      <w:r>
        <w:rPr>
          <w:rFonts w:ascii="Calibri" w:hAnsi="Calibri"/>
          <w:b/>
        </w:rPr>
        <w:t>2. Consent of current member</w:t>
      </w:r>
    </w:p>
    <w:p>
      <w:pPr>
        <w:keepLines w:val="0"/>
        <w:widowControl/>
      </w:pPr>
      <w:r>
        <w:rPr>
          <w:rFonts w:ascii="Calibri" w:hAnsi="Calibri"/>
          <w:b w:val="0"/>
          <w:sz w:val="21"/>
        </w:rPr>
        <w:t>Effective at [COUNSEL: same effective time as Instrument 3], Lakshmi Delbel, acting in her individual capacity as the current sole member:</w:t>
      </w:r>
    </w:p>
    <w:p>
      <w:pPr>
        <w:widowControl/>
        <w:numPr>
          <w:ilvl w:val="0"/>
          <w:numId w:val="28"/>
        </w:numPr>
      </w:pPr>
      <w:r>
        <w:rPr>
          <w:rFonts w:ascii="Calibri" w:hAnsi="Calibri"/>
          <w:b w:val="0"/>
          <w:sz w:val="20"/>
        </w:rPr>
        <w:t>consents to the assignment of the entire Company interest to Lakshmi Delbel, as trustee of the Caisson Interest Trust;</w:t>
      </w:r>
    </w:p>
    <w:p>
      <w:pPr>
        <w:widowControl/>
        <w:numPr>
          <w:ilvl w:val="0"/>
          <w:numId w:val="28"/>
        </w:numPr>
      </w:pPr>
      <w:r>
        <w:rPr>
          <w:rFonts w:ascii="Calibri" w:hAnsi="Calibri"/>
          <w:b w:val="0"/>
          <w:sz w:val="20"/>
        </w:rPr>
        <w:t>admits the initial trustee as the Company's sole member and gives advance consent to admission of a successor trustee only after that successor qualifies, accepts the trusteeship, consents in writing to the operating agreement and member status, and delivers the required trust certification;</w:t>
      </w:r>
    </w:p>
    <w:p>
      <w:pPr>
        <w:widowControl/>
        <w:numPr>
          <w:ilvl w:val="0"/>
          <w:numId w:val="28"/>
        </w:numPr>
      </w:pPr>
      <w:r>
        <w:rPr>
          <w:rFonts w:ascii="Calibri" w:hAnsi="Calibri"/>
          <w:b w:val="0"/>
          <w:sz w:val="20"/>
        </w:rPr>
        <w:t>approves the trustee's consent to the final operating agreement;</w:t>
      </w:r>
    </w:p>
    <w:p>
      <w:pPr>
        <w:widowControl/>
        <w:numPr>
          <w:ilvl w:val="0"/>
          <w:numId w:val="28"/>
        </w:numPr>
      </w:pPr>
      <w:r>
        <w:rPr>
          <w:rFonts w:ascii="Calibri" w:hAnsi="Calibri"/>
          <w:b w:val="0"/>
          <w:sz w:val="20"/>
        </w:rPr>
        <w:t>ceases to hold any individual membership interest immediately upon the trustee's admission; and</w:t>
      </w:r>
    </w:p>
    <w:p>
      <w:pPr>
        <w:widowControl/>
        <w:numPr>
          <w:ilvl w:val="0"/>
          <w:numId w:val="28"/>
        </w:numPr>
      </w:pPr>
      <w:r>
        <w:rPr>
          <w:rFonts w:ascii="Calibri" w:hAnsi="Calibri"/>
          <w:b w:val="0"/>
          <w:sz w:val="20"/>
        </w:rPr>
        <w:t>confirms that she continues only as manager under Instruments 5 and 6, not as individual member.</w:t>
      </w:r>
    </w:p>
    <w:p>
      <w:pPr>
        <w:keepLines w:val="0"/>
        <w:widowControl/>
      </w:pPr>
      <w:r>
        <w:rPr>
          <w:rFonts w:ascii="Calibri" w:hAnsi="Calibri"/>
          <w:b w:val="0"/>
          <w:sz w:val="21"/>
        </w:rPr>
        <w:t>The consent is given in advance for each successor trustee so a change in fiduciary office need not cause a gap in membership or dissolution, but nomination alone is insufficient. The successor must qualify, accept the trusteeship, consent in writing to the operating agreement and member status, deliver the required trust certification, and satisfy the final admission conditions before the ledger is updated.</w:t>
      </w:r>
    </w:p>
    <w:p>
      <w:pPr>
        <w:pStyle w:val="Heading1"/>
        <w:pageBreakBefore w:val="0"/>
      </w:pPr>
      <w:r>
        <w:rPr>
          <w:rFonts w:ascii="Calibri" w:hAnsi="Calibri"/>
          <w:b/>
        </w:rPr>
        <w:t>3. Trustee consent and acceptance</w:t>
      </w:r>
    </w:p>
    <w:p>
      <w:pPr>
        <w:keepLines w:val="0"/>
        <w:widowControl/>
      </w:pPr>
      <w:r>
        <w:rPr>
          <w:rFonts w:ascii="Calibri" w:hAnsi="Calibri"/>
          <w:b w:val="0"/>
          <w:sz w:val="21"/>
        </w:rPr>
        <w:t>The trustee:</w:t>
      </w:r>
    </w:p>
    <w:p>
      <w:pPr>
        <w:widowControl/>
        <w:numPr>
          <w:ilvl w:val="0"/>
          <w:numId w:val="29"/>
        </w:numPr>
      </w:pPr>
      <w:r>
        <w:rPr>
          <w:rFonts w:ascii="Calibri" w:hAnsi="Calibri"/>
          <w:b w:val="0"/>
          <w:sz w:val="20"/>
        </w:rPr>
        <w:t>accepts the Company interest in fiduciary capacity;</w:t>
      </w:r>
    </w:p>
    <w:p>
      <w:pPr>
        <w:widowControl/>
        <w:numPr>
          <w:ilvl w:val="0"/>
          <w:numId w:val="29"/>
        </w:numPr>
      </w:pPr>
      <w:r>
        <w:rPr>
          <w:rFonts w:ascii="Calibri" w:hAnsi="Calibri"/>
          <w:b w:val="0"/>
          <w:sz w:val="20"/>
        </w:rPr>
        <w:t>consents to admission as sole member under O.C.G.A. Section 14-11-505;</w:t>
      </w:r>
    </w:p>
    <w:p>
      <w:pPr>
        <w:widowControl/>
        <w:numPr>
          <w:ilvl w:val="0"/>
          <w:numId w:val="29"/>
        </w:numPr>
      </w:pPr>
      <w:r>
        <w:rPr>
          <w:rFonts w:ascii="Calibri" w:hAnsi="Calibri"/>
          <w:b w:val="0"/>
          <w:sz w:val="20"/>
        </w:rPr>
        <w:t>agrees to be bound by the final operating agreement;</w:t>
      </w:r>
    </w:p>
    <w:p>
      <w:pPr>
        <w:widowControl/>
        <w:numPr>
          <w:ilvl w:val="0"/>
          <w:numId w:val="29"/>
        </w:numPr>
      </w:pPr>
      <w:r>
        <w:rPr>
          <w:rFonts w:ascii="Calibri" w:hAnsi="Calibri"/>
          <w:b w:val="0"/>
          <w:sz w:val="20"/>
        </w:rPr>
        <w:t>acknowledges the fixed trust restrictions; and</w:t>
      </w:r>
    </w:p>
    <w:p>
      <w:pPr>
        <w:widowControl/>
        <w:numPr>
          <w:ilvl w:val="0"/>
          <w:numId w:val="29"/>
        </w:numPr>
      </w:pPr>
      <w:r>
        <w:rPr>
          <w:rFonts w:ascii="Calibri" w:hAnsi="Calibri"/>
          <w:b w:val="0"/>
          <w:sz w:val="20"/>
        </w:rPr>
        <w:t>accepts responsibility for Company-member decisions only in fiduciary capacity.</w:t>
      </w:r>
    </w:p>
    <w:p>
      <w:pPr>
        <w:pStyle w:val="Heading1"/>
        <w:pageBreakBefore w:val="0"/>
      </w:pPr>
      <w:r>
        <w:rPr>
          <w:rFonts w:ascii="Calibri" w:hAnsi="Calibri"/>
          <w:b/>
        </w:rPr>
        <w:t>4. Company ledger</w:t>
      </w:r>
    </w:p>
    <w:p>
      <w:pPr>
        <w:keepLines w:val="0"/>
        <w:widowControl/>
      </w:pPr>
      <w:r>
        <w:rPr>
          <w:rFonts w:ascii="Calibri" w:hAnsi="Calibri"/>
          <w:b w:val="0"/>
          <w:sz w:val="21"/>
        </w:rPr>
        <w:t>The Company shall update its ledger as follows: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252"/>
        <w:gridCol w:w="2252"/>
        <w:gridCol w:w="501"/>
        <w:gridCol w:w="2252"/>
        <w:gridCol w:w="2103"/>
      </w:tblGrid>
      <w:tr>
        <w:trPr>
          <w:cantSplit w:val="true"/>
          <w:tblHeader w:val="true"/>
        </w:trPr>
        <w:tc>
          <w:tcPr>
            <w:tcW w:type="dxa" w:w="2252"/>
            <w:vAlign w:val="center"/>
            <w:shd w:fill="1F4D78"/>
            <w:tcMar>
              <w:top w:w="80" w:type="dxa"/>
              <w:bottom w:w="80" w:type="dxa"/>
              <w:start w:w="120" w:type="dxa"/>
              <w:end w:w="120" w:type="dxa"/>
            </w:tcMar>
          </w:tcPr>
          <w:p>
            <w:pPr>
              <w:pStyle w:val="TableText"/>
              <w:jc w:val="left"/>
            </w:pPr>
            <w:r>
              <w:rPr>
                <w:rFonts w:ascii="Calibri" w:hAnsi="Calibri"/>
                <w:b/>
                <w:color w:val="FFFFFF"/>
                <w:sz w:val="17"/>
              </w:rPr>
              <w:t>Effective time</w:t>
            </w:r>
          </w:p>
        </w:tc>
        <w:tc>
          <w:tcPr>
            <w:tcW w:type="dxa" w:w="2252"/>
            <w:vAlign w:val="center"/>
            <w:shd w:fill="1F4D78"/>
            <w:tcMar>
              <w:top w:w="80" w:type="dxa"/>
              <w:bottom w:w="80" w:type="dxa"/>
              <w:start w:w="120" w:type="dxa"/>
              <w:end w:w="120" w:type="dxa"/>
            </w:tcMar>
          </w:tcPr>
          <w:p>
            <w:pPr>
              <w:pStyle w:val="TableText"/>
              <w:jc w:val="left"/>
            </w:pPr>
            <w:r>
              <w:rPr>
                <w:rFonts w:ascii="Calibri" w:hAnsi="Calibri"/>
                <w:b/>
                <w:color w:val="FFFFFF"/>
                <w:sz w:val="17"/>
              </w:rPr>
              <w:t>Record member</w:t>
            </w:r>
          </w:p>
        </w:tc>
        <w:tc>
          <w:tcPr>
            <w:tcW w:type="dxa" w:w="501"/>
            <w:vAlign w:val="center"/>
            <w:shd w:fill="1F4D78"/>
            <w:tcMar>
              <w:top w:w="80" w:type="dxa"/>
              <w:bottom w:w="80" w:type="dxa"/>
              <w:start w:w="120" w:type="dxa"/>
              <w:end w:w="120" w:type="dxa"/>
            </w:tcMar>
          </w:tcPr>
          <w:p>
            <w:pPr>
              <w:pStyle w:val="TableText"/>
              <w:jc w:val="left"/>
            </w:pPr>
            <w:r>
              <w:rPr>
                <w:rFonts w:ascii="Calibri" w:hAnsi="Calibri"/>
                <w:b/>
                <w:color w:val="FFFFFF"/>
                <w:sz w:val="17"/>
              </w:rPr>
              <w:t>Percentage</w:t>
            </w:r>
          </w:p>
        </w:tc>
        <w:tc>
          <w:tcPr>
            <w:tcW w:type="dxa" w:w="2252"/>
            <w:vAlign w:val="center"/>
            <w:shd w:fill="1F4D78"/>
            <w:tcMar>
              <w:top w:w="80" w:type="dxa"/>
              <w:bottom w:w="80" w:type="dxa"/>
              <w:start w:w="120" w:type="dxa"/>
              <w:end w:w="120" w:type="dxa"/>
            </w:tcMar>
          </w:tcPr>
          <w:p>
            <w:pPr>
              <w:pStyle w:val="TableText"/>
              <w:jc w:val="left"/>
            </w:pPr>
            <w:r>
              <w:rPr>
                <w:rFonts w:ascii="Calibri" w:hAnsi="Calibri"/>
                <w:b/>
                <w:color w:val="FFFFFF"/>
                <w:sz w:val="17"/>
              </w:rPr>
              <w:t>Capacity</w:t>
            </w:r>
          </w:p>
        </w:tc>
        <w:tc>
          <w:tcPr>
            <w:tcW w:type="dxa" w:w="2103"/>
            <w:vAlign w:val="center"/>
            <w:shd w:fill="1F4D78"/>
            <w:tcMar>
              <w:top w:w="80" w:type="dxa"/>
              <w:bottom w:w="80" w:type="dxa"/>
              <w:start w:w="120" w:type="dxa"/>
              <w:end w:w="120" w:type="dxa"/>
            </w:tcMar>
          </w:tcPr>
          <w:p>
            <w:pPr>
              <w:pStyle w:val="TableText"/>
              <w:jc w:val="left"/>
            </w:pPr>
            <w:r>
              <w:rPr>
                <w:rFonts w:ascii="Calibri" w:hAnsi="Calibri"/>
                <w:b/>
                <w:color w:val="FFFFFF"/>
                <w:sz w:val="17"/>
              </w:rPr>
              <w:t>Manager</w:t>
            </w:r>
          </w:p>
        </w:tc>
      </w:tr>
      <w:tr>
        <w:trPr>
          <w:cantSplit w:val="true"/>
        </w:trPr>
        <w:tc>
          <w:tcPr>
            <w:tcW w:type="dxa" w:w="2252"/>
            <w:vAlign w:val="top"/>
            <w:tcMar>
              <w:top w:w="80" w:type="dxa"/>
              <w:bottom w:w="80" w:type="dxa"/>
              <w:start w:w="120" w:type="dxa"/>
              <w:end w:w="120" w:type="dxa"/>
            </w:tcMar>
          </w:tcPr>
          <w:p>
            <w:pPr>
              <w:pStyle w:val="TableText"/>
              <w:jc w:val="left"/>
            </w:pPr>
            <w:r>
              <w:rPr>
                <w:rFonts w:ascii="Calibri" w:hAnsi="Calibri"/>
                <w:b w:val="0"/>
                <w:sz w:val="18"/>
              </w:rPr>
              <w:t>Before coordinated closing</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Lakshmi Delbel</w:t>
            </w:r>
          </w:p>
        </w:tc>
        <w:tc>
          <w:tcPr>
            <w:tcW w:type="dxa" w:w="501"/>
            <w:vAlign w:val="top"/>
            <w:tcMar>
              <w:top w:w="80" w:type="dxa"/>
              <w:bottom w:w="80" w:type="dxa"/>
              <w:start w:w="120" w:type="dxa"/>
              <w:end w:w="120" w:type="dxa"/>
            </w:tcMar>
          </w:tcPr>
          <w:p>
            <w:pPr>
              <w:pStyle w:val="TableText"/>
              <w:jc w:val="left"/>
            </w:pPr>
            <w:r>
              <w:rPr>
                <w:rFonts w:ascii="Calibri" w:hAnsi="Calibri"/>
                <w:b w:val="0"/>
                <w:sz w:val="18"/>
              </w:rPr>
              <w:t>100%</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Individual member identified in reviewed records</w:t>
            </w:r>
          </w:p>
        </w:tc>
        <w:tc>
          <w:tcPr>
            <w:tcW w:type="dxa" w:w="2103"/>
            <w:vAlign w:val="top"/>
            <w:tcMar>
              <w:top w:w="80" w:type="dxa"/>
              <w:bottom w:w="80" w:type="dxa"/>
              <w:start w:w="120" w:type="dxa"/>
              <w:end w:w="120" w:type="dxa"/>
            </w:tcMar>
          </w:tcPr>
          <w:p>
            <w:pPr>
              <w:pStyle w:val="TableText"/>
              <w:jc w:val="left"/>
            </w:pPr>
            <w:r>
              <w:rPr>
                <w:rFonts w:ascii="Calibri" w:hAnsi="Calibri"/>
                <w:b w:val="0"/>
                <w:sz w:val="18"/>
              </w:rPr>
              <w:t>No definitive manager appointment reviewed</w:t>
            </w:r>
          </w:p>
        </w:tc>
      </w:tr>
      <w:tr>
        <w:trPr>
          <w:cantSplit w:val="true"/>
        </w:trPr>
        <w:tc>
          <w:tcPr>
            <w:tcW w:type="dxa" w:w="2252"/>
            <w:vAlign w:val="top"/>
            <w:tcMar>
              <w:top w:w="80" w:type="dxa"/>
              <w:bottom w:w="80" w:type="dxa"/>
              <w:start w:w="120" w:type="dxa"/>
              <w:end w:w="120" w:type="dxa"/>
            </w:tcMar>
          </w:tcPr>
          <w:p>
            <w:pPr>
              <w:pStyle w:val="TableText"/>
              <w:jc w:val="left"/>
            </w:pPr>
            <w:r>
              <w:rPr>
                <w:rFonts w:ascii="Calibri" w:hAnsi="Calibri"/>
                <w:b w:val="0"/>
                <w:sz w:val="18"/>
              </w:rPr>
              <w:t>After coordinated closing</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Lakshmi Delbel, solely as Trustee of the Caisson Interest Trust dated [date]</w:t>
            </w:r>
          </w:p>
        </w:tc>
        <w:tc>
          <w:tcPr>
            <w:tcW w:type="dxa" w:w="501"/>
            <w:vAlign w:val="top"/>
            <w:tcMar>
              <w:top w:w="80" w:type="dxa"/>
              <w:bottom w:w="80" w:type="dxa"/>
              <w:start w:w="120" w:type="dxa"/>
              <w:end w:w="120" w:type="dxa"/>
            </w:tcMar>
          </w:tcPr>
          <w:p>
            <w:pPr>
              <w:pStyle w:val="TableText"/>
              <w:jc w:val="left"/>
            </w:pPr>
            <w:r>
              <w:rPr>
                <w:rFonts w:ascii="Calibri" w:hAnsi="Calibri"/>
                <w:b w:val="0"/>
                <w:sz w:val="18"/>
              </w:rPr>
              <w:t>100%</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Fiduciary sole member</w:t>
            </w:r>
          </w:p>
        </w:tc>
        <w:tc>
          <w:tcPr>
            <w:tcW w:type="dxa" w:w="2103"/>
            <w:vAlign w:val="top"/>
            <w:tcMar>
              <w:top w:w="80" w:type="dxa"/>
              <w:bottom w:w="80" w:type="dxa"/>
              <w:start w:w="120" w:type="dxa"/>
              <w:end w:w="120" w:type="dxa"/>
            </w:tcMar>
          </w:tcPr>
          <w:p>
            <w:pPr>
              <w:pStyle w:val="TableText"/>
              <w:jc w:val="left"/>
            </w:pPr>
            <w:r>
              <w:rPr>
                <w:rFonts w:ascii="Calibri" w:hAnsi="Calibri"/>
                <w:b w:val="0"/>
                <w:sz w:val="18"/>
              </w:rPr>
              <w:t>Lakshmi Delbel, individually as manager</w:t>
            </w:r>
          </w:p>
        </w:tc>
      </w:tr>
      <w:tr>
        <w:trPr>
          <w:cantSplit w:val="true"/>
        </w:trPr>
        <w:tc>
          <w:tcPr>
            <w:tcW w:type="dxa" w:w="2252"/>
            <w:vAlign w:val="top"/>
            <w:tcMar>
              <w:top w:w="80" w:type="dxa"/>
              <w:bottom w:w="80" w:type="dxa"/>
              <w:start w:w="120" w:type="dxa"/>
              <w:end w:w="120" w:type="dxa"/>
            </w:tcMar>
          </w:tcPr>
          <w:p>
            <w:pPr>
              <w:pStyle w:val="TableText"/>
              <w:jc w:val="left"/>
            </w:pPr>
            <w:r>
              <w:rPr>
                <w:rFonts w:ascii="Calibri" w:hAnsi="Calibri"/>
                <w:b w:val="0"/>
                <w:sz w:val="18"/>
              </w:rPr>
              <w:t>Upon successor qualification and admission</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Name of then-serving successor trustee</w:t>
            </w:r>
          </w:p>
        </w:tc>
        <w:tc>
          <w:tcPr>
            <w:tcW w:type="dxa" w:w="501"/>
            <w:vAlign w:val="top"/>
            <w:tcMar>
              <w:top w:w="80" w:type="dxa"/>
              <w:bottom w:w="80" w:type="dxa"/>
              <w:start w:w="120" w:type="dxa"/>
              <w:end w:w="120" w:type="dxa"/>
            </w:tcMar>
          </w:tcPr>
          <w:p>
            <w:pPr>
              <w:pStyle w:val="TableText"/>
              <w:jc w:val="left"/>
            </w:pPr>
            <w:r>
              <w:rPr>
                <w:rFonts w:ascii="Calibri" w:hAnsi="Calibri"/>
                <w:b w:val="0"/>
                <w:sz w:val="18"/>
              </w:rPr>
              <w:t>100%</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Fiduciary sole member</w:t>
            </w:r>
          </w:p>
        </w:tc>
        <w:tc>
          <w:tcPr>
            <w:tcW w:type="dxa" w:w="2103"/>
            <w:vAlign w:val="top"/>
            <w:tcMar>
              <w:top w:w="80" w:type="dxa"/>
              <w:bottom w:w="80" w:type="dxa"/>
              <w:start w:w="120" w:type="dxa"/>
              <w:end w:w="120" w:type="dxa"/>
            </w:tcMar>
          </w:tcPr>
          <w:p>
            <w:pPr>
              <w:pStyle w:val="TableText"/>
              <w:jc w:val="left"/>
            </w:pPr>
            <w:r>
              <w:rPr>
                <w:rFonts w:ascii="Calibri" w:hAnsi="Calibri"/>
                <w:b w:val="0"/>
                <w:sz w:val="18"/>
              </w:rPr>
              <w:t>Then-serving accepted manager</w:t>
            </w:r>
          </w:p>
        </w:tc>
      </w:tr>
      <w:tr>
        <w:trPr>
          <w:cantSplit w:val="true"/>
        </w:trPr>
        <w:tc>
          <w:tcPr>
            <w:tcW w:type="dxa" w:w="2252"/>
            <w:vAlign w:val="top"/>
            <w:tcMar>
              <w:top w:w="80" w:type="dxa"/>
              <w:bottom w:w="80" w:type="dxa"/>
              <w:start w:w="120" w:type="dxa"/>
              <w:end w:w="120" w:type="dxa"/>
            </w:tcMar>
          </w:tcPr>
          <w:p>
            <w:pPr>
              <w:pStyle w:val="TableText"/>
              <w:jc w:val="left"/>
            </w:pPr>
            <w:r>
              <w:rPr>
                <w:rFonts w:ascii="Calibri" w:hAnsi="Calibri"/>
                <w:b w:val="0"/>
                <w:sz w:val="18"/>
              </w:rPr>
              <w:t>At Handoff Time, only if valid adult consent and admission are complete</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Liam Thadani</w:t>
            </w:r>
          </w:p>
        </w:tc>
        <w:tc>
          <w:tcPr>
            <w:tcW w:type="dxa" w:w="501"/>
            <w:vAlign w:val="top"/>
            <w:tcMar>
              <w:top w:w="80" w:type="dxa"/>
              <w:bottom w:w="80" w:type="dxa"/>
              <w:start w:w="120" w:type="dxa"/>
              <w:end w:w="120" w:type="dxa"/>
            </w:tcMar>
          </w:tcPr>
          <w:p>
            <w:pPr>
              <w:pStyle w:val="TableText"/>
              <w:jc w:val="left"/>
            </w:pPr>
            <w:r>
              <w:rPr>
                <w:rFonts w:ascii="Calibri" w:hAnsi="Calibri"/>
                <w:b w:val="0"/>
                <w:sz w:val="18"/>
              </w:rPr>
              <w:t>100%</w:t>
            </w:r>
          </w:p>
        </w:tc>
        <w:tc>
          <w:tcPr>
            <w:tcW w:type="dxa" w:w="2252"/>
            <w:vAlign w:val="top"/>
            <w:tcMar>
              <w:top w:w="80" w:type="dxa"/>
              <w:bottom w:w="80" w:type="dxa"/>
              <w:start w:w="120" w:type="dxa"/>
              <w:end w:w="120" w:type="dxa"/>
            </w:tcMar>
          </w:tcPr>
          <w:p>
            <w:pPr>
              <w:pStyle w:val="TableText"/>
              <w:jc w:val="left"/>
            </w:pPr>
            <w:r>
              <w:rPr>
                <w:rFonts w:ascii="Calibri" w:hAnsi="Calibri"/>
                <w:b w:val="0"/>
                <w:sz w:val="18"/>
              </w:rPr>
              <w:t>Individual sole member</w:t>
            </w:r>
          </w:p>
        </w:tc>
        <w:tc>
          <w:tcPr>
            <w:tcW w:type="dxa" w:w="2103"/>
            <w:vAlign w:val="top"/>
            <w:tcMar>
              <w:top w:w="80" w:type="dxa"/>
              <w:bottom w:w="80" w:type="dxa"/>
              <w:start w:w="120" w:type="dxa"/>
              <w:end w:w="120" w:type="dxa"/>
            </w:tcMar>
          </w:tcPr>
          <w:p>
            <w:pPr>
              <w:pStyle w:val="TableText"/>
              <w:jc w:val="left"/>
            </w:pPr>
            <w:r>
              <w:rPr>
                <w:rFonts w:ascii="Calibri" w:hAnsi="Calibri"/>
                <w:b w:val="0"/>
                <w:sz w:val="18"/>
              </w:rPr>
              <w:t>Liam Thadani upon manager acceptance</w:t>
            </w:r>
          </w:p>
        </w:tc>
      </w:tr>
    </w:tbl>
    <w:p>
      <w:pPr>
        <w:spacing w:after="40"/>
      </w:pPr>
    </w:p>
    <w:p>
      <w:pPr>
        <w:pStyle w:val="Heading1"/>
        <w:pageBreakBefore w:val="0"/>
      </w:pPr>
      <w:r>
        <w:rPr>
          <w:rFonts w:ascii="Calibri" w:hAnsi="Calibri"/>
          <w:b/>
        </w:rPr>
        <w:t>5. No dissolution or termination</w:t>
      </w:r>
    </w:p>
    <w:p>
      <w:pPr>
        <w:keepLines w:val="0"/>
        <w:widowControl/>
      </w:pPr>
      <w:r>
        <w:rPr>
          <w:rFonts w:ascii="Calibri" w:hAnsi="Calibri"/>
          <w:b w:val="0"/>
          <w:sz w:val="21"/>
        </w:rPr>
        <w:t>The assignment, trustee admission, trustee succession, and later Handoff Time transfer do not dissolve, terminate, wind up, or interrupt the Company. The Company continues perpetually unless dissolved under the final operating agreement and law.</w:t>
      </w:r>
    </w:p>
    <w:p>
      <w:pPr>
        <w:pStyle w:val="Heading1"/>
        <w:pageBreakBefore w:val="0"/>
      </w:pPr>
      <w:r>
        <w:rPr>
          <w:rFonts w:ascii="Calibri" w:hAnsi="Calibri"/>
          <w:b/>
        </w:rPr>
        <w:t>6. Trust certification and privacy</w:t>
      </w:r>
    </w:p>
    <w:p>
      <w:pPr>
        <w:keepLines w:val="0"/>
        <w:widowControl/>
      </w:pPr>
      <w:r>
        <w:rPr>
          <w:rFonts w:ascii="Calibri" w:hAnsi="Calibri"/>
          <w:b w:val="0"/>
          <w:sz w:val="21"/>
        </w:rPr>
        <w:t>The Company may rely on a counsel-approved certification stating the Trust's existence, trustee identity, powers, irrevocability, and fixed succession without placing the full confidential trust in routine platform records. The certification must not conceal facts a bank, payment processor, tax authority, or other lawful reviewer requires.</w:t>
      </w:r>
    </w:p>
    <w:p>
      <w:pPr>
        <w:pStyle w:val="Heading1"/>
        <w:pageBreakBefore w:val="0"/>
      </w:pPr>
      <w:r>
        <w:rPr>
          <w:rFonts w:ascii="Calibri" w:hAnsi="Calibri"/>
          <w:b/>
        </w:rPr>
        <w:t>7. Tax and KYC records</w:t>
      </w:r>
    </w:p>
    <w:p>
      <w:pPr>
        <w:keepLines w:val="0"/>
        <w:widowControl/>
      </w:pPr>
      <w:r>
        <w:rPr>
          <w:rFonts w:ascii="Calibri" w:hAnsi="Calibri"/>
          <w:b w:val="0"/>
          <w:sz w:val="21"/>
        </w:rPr>
        <w:t>The manager shall obtain advice before changing tax, beneficial-owner, controller, or platform records. The fact that the trustee is admitted as member does not itself answer every tax or KYC definition. [COUNSEL AND CPA: insert reporting conclusion and update dates.]</w:t>
      </w:r>
    </w:p>
    <w:p>
      <w:pPr>
        <w:pStyle w:val="Heading1"/>
        <w:pageBreakBefore w:val="0"/>
      </w:pPr>
      <w:r>
        <w:rPr>
          <w:rFonts w:ascii="Calibri" w:hAnsi="Calibri"/>
          <w:b/>
        </w:rPr>
        <w:t>8. Record-book instructions</w:t>
      </w:r>
    </w:p>
    <w:p>
      <w:pPr>
        <w:keepLines w:val="0"/>
        <w:widowControl/>
      </w:pPr>
      <w:r>
        <w:rPr>
          <w:rFonts w:ascii="Calibri" w:hAnsi="Calibri"/>
          <w:b w:val="0"/>
          <w:sz w:val="21"/>
        </w:rPr>
        <w:t>The Company secretary or manager shall place in the minute book:</w:t>
      </w:r>
    </w:p>
    <w:p>
      <w:pPr>
        <w:widowControl/>
        <w:numPr>
          <w:ilvl w:val="0"/>
          <w:numId w:val="30"/>
        </w:numPr>
      </w:pPr>
      <w:r>
        <w:rPr>
          <w:rFonts w:ascii="Calibri" w:hAnsi="Calibri"/>
          <w:b w:val="0"/>
          <w:sz w:val="20"/>
        </w:rPr>
        <w:t>the final trust certification;</w:t>
      </w:r>
    </w:p>
    <w:p>
      <w:pPr>
        <w:widowControl/>
        <w:numPr>
          <w:ilvl w:val="0"/>
          <w:numId w:val="30"/>
        </w:numPr>
      </w:pPr>
      <w:r>
        <w:rPr>
          <w:rFonts w:ascii="Calibri" w:hAnsi="Calibri"/>
          <w:b w:val="0"/>
          <w:sz w:val="20"/>
        </w:rPr>
        <w:t>the executed assignment;</w:t>
      </w:r>
    </w:p>
    <w:p>
      <w:pPr>
        <w:widowControl/>
        <w:numPr>
          <w:ilvl w:val="0"/>
          <w:numId w:val="30"/>
        </w:numPr>
      </w:pPr>
      <w:r>
        <w:rPr>
          <w:rFonts w:ascii="Calibri" w:hAnsi="Calibri"/>
          <w:b w:val="0"/>
          <w:sz w:val="20"/>
        </w:rPr>
        <w:t>this admission consent;</w:t>
      </w:r>
    </w:p>
    <w:p>
      <w:pPr>
        <w:widowControl/>
        <w:numPr>
          <w:ilvl w:val="0"/>
          <w:numId w:val="30"/>
        </w:numPr>
      </w:pPr>
      <w:r>
        <w:rPr>
          <w:rFonts w:ascii="Calibri" w:hAnsi="Calibri"/>
          <w:b w:val="0"/>
          <w:sz w:val="20"/>
        </w:rPr>
        <w:t>the final operating agreement;</w:t>
      </w:r>
    </w:p>
    <w:p>
      <w:pPr>
        <w:widowControl/>
        <w:numPr>
          <w:ilvl w:val="0"/>
          <w:numId w:val="30"/>
        </w:numPr>
      </w:pPr>
      <w:r>
        <w:rPr>
          <w:rFonts w:ascii="Calibri" w:hAnsi="Calibri"/>
          <w:b w:val="0"/>
          <w:sz w:val="20"/>
        </w:rPr>
        <w:t>the updated member ledger;</w:t>
      </w:r>
    </w:p>
    <w:p>
      <w:pPr>
        <w:widowControl/>
        <w:numPr>
          <w:ilvl w:val="0"/>
          <w:numId w:val="30"/>
        </w:numPr>
      </w:pPr>
      <w:r>
        <w:rPr>
          <w:rFonts w:ascii="Calibri" w:hAnsi="Calibri"/>
          <w:b w:val="0"/>
          <w:sz w:val="20"/>
        </w:rPr>
        <w:t>any articles amendment;</w:t>
      </w:r>
    </w:p>
    <w:p>
      <w:pPr>
        <w:widowControl/>
        <w:numPr>
          <w:ilvl w:val="0"/>
          <w:numId w:val="30"/>
        </w:numPr>
      </w:pPr>
      <w:r>
        <w:rPr>
          <w:rFonts w:ascii="Calibri" w:hAnsi="Calibri"/>
          <w:b w:val="0"/>
          <w:sz w:val="20"/>
        </w:rPr>
        <w:t>valuation and tax memoranda in the restricted advisor section; and</w:t>
      </w:r>
    </w:p>
    <w:p>
      <w:pPr>
        <w:widowControl/>
        <w:numPr>
          <w:ilvl w:val="0"/>
          <w:numId w:val="30"/>
        </w:numPr>
      </w:pPr>
      <w:r>
        <w:rPr>
          <w:rFonts w:ascii="Calibri" w:hAnsi="Calibri"/>
          <w:b w:val="0"/>
          <w:sz w:val="20"/>
        </w:rPr>
        <w:t>evidence of required platform updates.</w:t>
      </w: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supply final member consent, trustee acceptance, Company acknowledgement, ledger certificate, and any filing formalities.</w:t>
      </w:r>
    </w:p>
    <w:p>
      <w:pPr>
        <w:pStyle w:val="Heading1"/>
        <w:pageBreakBefore/>
      </w:pPr>
      <w:r>
        <w:rPr>
          <w:rFonts w:ascii="Calibri" w:hAnsi="Calibri"/>
          <w:b/>
        </w:rPr>
        <w:t>Instrument 5 - Manager-Managed Operating Agreement</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Article 1 - Company and controlling agreement</w:t>
      </w:r>
    </w:p>
    <w:p>
      <w:pPr>
        <w:pStyle w:val="Heading2"/>
        <w:pageBreakBefore w:val="0"/>
      </w:pPr>
      <w:r>
        <w:rPr>
          <w:rFonts w:ascii="Calibri" w:hAnsi="Calibri"/>
          <w:b/>
        </w:rPr>
        <w:t>1.1 Company</w:t>
      </w:r>
    </w:p>
    <w:p>
      <w:pPr>
        <w:keepLines w:val="0"/>
        <w:widowControl/>
      </w:pPr>
      <w:r>
        <w:rPr>
          <w:rFonts w:ascii="Calibri" w:hAnsi="Calibri"/>
          <w:b w:val="0"/>
          <w:sz w:val="21"/>
        </w:rPr>
        <w:t>Caisson Software LLC is a Georgia limited liability company organized effective July 6, 2026 under control number 26147198.</w:t>
      </w:r>
    </w:p>
    <w:p>
      <w:pPr>
        <w:pStyle w:val="Heading2"/>
        <w:pageBreakBefore w:val="0"/>
      </w:pPr>
      <w:r>
        <w:rPr>
          <w:rFonts w:ascii="Calibri" w:hAnsi="Calibri"/>
          <w:b/>
        </w:rPr>
        <w:t>1.2 Controlling written agreement</w:t>
      </w:r>
    </w:p>
    <w:p>
      <w:pPr>
        <w:keepLines w:val="0"/>
        <w:widowControl/>
      </w:pPr>
      <w:r>
        <w:rPr>
          <w:rFonts w:ascii="Calibri" w:hAnsi="Calibri"/>
          <w:b w:val="0"/>
          <w:sz w:val="21"/>
        </w:rPr>
        <w:t>This written operating agreement is the entire operating agreement of the Company. It supersedes every prior oral, implied, template, organizer-adopted, unsigned, or other operating-agreement provision, including the prefilled vendor form and any unidentified "general provisions" referenced in the July 8, 2026 organizer resolutions.</w:t>
      </w:r>
    </w:p>
    <w:p>
      <w:pPr>
        <w:pStyle w:val="Heading2"/>
        <w:pageBreakBefore w:val="0"/>
      </w:pPr>
      <w:r>
        <w:rPr>
          <w:rFonts w:ascii="Calibri" w:hAnsi="Calibri"/>
          <w:b/>
        </w:rPr>
        <w:t>1.3 Manager-managed status and articles amendment</w:t>
      </w:r>
    </w:p>
    <w:p>
      <w:pPr>
        <w:keepLines w:val="0"/>
        <w:widowControl/>
      </w:pPr>
      <w:r>
        <w:rPr>
          <w:rFonts w:ascii="Calibri" w:hAnsi="Calibri"/>
          <w:b w:val="0"/>
          <w:sz w:val="21"/>
        </w:rPr>
        <w:t>The Company is manager-managed. Management is vested exclusively in the manager except for matters expressly reserved to the member. Counsel shall prepare and file any articles amendment required to make manager management and third-party agency clear under O.C.G.A. Sections 14-11-301 and 14-11-304. Until the filing is effective, parties shall use written authority certificates and shall not assume the operating agreement alone resolves apparent-agency questions.</w:t>
      </w:r>
    </w:p>
    <w:p>
      <w:pPr>
        <w:pStyle w:val="Heading2"/>
        <w:pageBreakBefore w:val="0"/>
      </w:pPr>
      <w:r>
        <w:rPr>
          <w:rFonts w:ascii="Calibri" w:hAnsi="Calibri"/>
          <w:b/>
        </w:rPr>
        <w:t>1.4 Term and purpose</w:t>
      </w:r>
    </w:p>
    <w:p>
      <w:pPr>
        <w:keepLines w:val="0"/>
        <w:widowControl/>
      </w:pPr>
      <w:r>
        <w:rPr>
          <w:rFonts w:ascii="Calibri" w:hAnsi="Calibri"/>
          <w:b w:val="0"/>
          <w:sz w:val="21"/>
        </w:rPr>
        <w:t>The Company has perpetual existence and may conduct any lawful business, including software development, licensing, publishing, support, and related services. Death, Incapacity, resignation, transfer, trustee succession, or loss of a particular member or manager does not cause dissolution except as nonwaivable law requires.</w:t>
      </w:r>
    </w:p>
    <w:p>
      <w:pPr>
        <w:pStyle w:val="Heading2"/>
        <w:pageBreakBefore w:val="0"/>
      </w:pPr>
      <w:r>
        <w:rPr>
          <w:rFonts w:ascii="Calibri" w:hAnsi="Calibri"/>
          <w:b/>
        </w:rPr>
        <w:t>1.5 Principal and registered offices</w:t>
      </w:r>
    </w:p>
    <w:p>
      <w:pPr>
        <w:widowControl/>
        <w:numPr>
          <w:ilvl w:val="0"/>
          <w:numId w:val="31"/>
        </w:numPr>
      </w:pPr>
      <w:r>
        <w:rPr>
          <w:rFonts w:ascii="Calibri" w:hAnsi="Calibri"/>
          <w:b w:val="0"/>
          <w:sz w:val="20"/>
        </w:rPr>
        <w:t>Principal office: [COUNSEL: confirm address].</w:t>
      </w:r>
    </w:p>
    <w:p>
      <w:pPr>
        <w:widowControl/>
        <w:numPr>
          <w:ilvl w:val="0"/>
          <w:numId w:val="31"/>
        </w:numPr>
      </w:pPr>
      <w:r>
        <w:rPr>
          <w:rFonts w:ascii="Calibri" w:hAnsi="Calibri"/>
          <w:b w:val="0"/>
          <w:sz w:val="20"/>
        </w:rPr>
        <w:t>Registered office and agent: as shown in current Georgia records, subject to lawful update.</w:t>
      </w:r>
    </w:p>
    <w:p>
      <w:pPr>
        <w:widowControl/>
        <w:numPr>
          <w:ilvl w:val="0"/>
          <w:numId w:val="31"/>
        </w:numPr>
      </w:pPr>
      <w:r>
        <w:rPr>
          <w:rFonts w:ascii="Calibri" w:hAnsi="Calibri"/>
          <w:b w:val="0"/>
          <w:sz w:val="20"/>
        </w:rPr>
        <w:t>Tax and notice address: [COUNSEL AND CPA: confirm].</w:t>
      </w:r>
    </w:p>
    <w:p>
      <w:pPr>
        <w:pStyle w:val="Heading1"/>
        <w:pageBreakBefore w:val="0"/>
      </w:pPr>
      <w:r>
        <w:rPr>
          <w:rFonts w:ascii="Calibri" w:hAnsi="Calibri"/>
          <w:b/>
        </w:rPr>
        <w:t>Article 2 - Member and beneficiary distinctions</w:t>
      </w:r>
    </w:p>
    <w:p>
      <w:pPr>
        <w:pStyle w:val="Heading2"/>
        <w:pageBreakBefore w:val="0"/>
      </w:pPr>
      <w:r>
        <w:rPr>
          <w:rFonts w:ascii="Calibri" w:hAnsi="Calibri"/>
          <w:b/>
        </w:rPr>
        <w:t>2.1 Sole member before Handoff Time</w:t>
      </w:r>
    </w:p>
    <w:p>
      <w:pPr>
        <w:keepLines w:val="0"/>
        <w:widowControl/>
      </w:pPr>
      <w:r>
        <w:rPr>
          <w:rFonts w:ascii="Calibri" w:hAnsi="Calibri"/>
          <w:b w:val="0"/>
          <w:sz w:val="21"/>
        </w:rPr>
        <w:t>After the coordinated closing, the sole member is the then-serving trustee of the Caisson Interest Trust, solely in fiduciary capacity. Upon qualification, written acceptance of the trusteeship, written consent to the operating agreement and member status, delivery of the required trust certification, and satisfaction of the advance admission conditions in Instruments 4 and 5, a successor trustee is admitted as sole member in fiduciary capacity and the ledger is updated. Legal title passes to the serving trustee; Liam's beneficial interest and the percentage interest do not change.</w:t>
      </w:r>
    </w:p>
    <w:p>
      <w:pPr>
        <w:pStyle w:val="Heading2"/>
        <w:pageBreakBefore w:val="0"/>
      </w:pPr>
      <w:r>
        <w:rPr>
          <w:rFonts w:ascii="Calibri" w:hAnsi="Calibri"/>
          <w:b/>
        </w:rPr>
        <w:t>2.2 Beneficiary not member</w:t>
      </w:r>
    </w:p>
    <w:p>
      <w:pPr>
        <w:keepLines w:val="0"/>
        <w:widowControl/>
      </w:pPr>
      <w:r>
        <w:rPr>
          <w:rFonts w:ascii="Calibri" w:hAnsi="Calibri"/>
          <w:b w:val="0"/>
          <w:sz w:val="21"/>
        </w:rPr>
        <w:t>After the coordinated closing and before the Handoff Time, Liam's intended vested beneficial interest under the Trust, subject to the stated death condition, does not make him a member, manager, legal title holder, platform owner, or statutory agent of the Company. He has only the employment and agency authority expressly delegated in Instrument 6. Federal tax ownership and platform-defined beneficial ownership require separate written determinations.</w:t>
      </w:r>
    </w:p>
    <w:p>
      <w:pPr>
        <w:pStyle w:val="Heading2"/>
        <w:pageBreakBefore w:val="0"/>
      </w:pPr>
      <w:r>
        <w:rPr>
          <w:rFonts w:ascii="Calibri" w:hAnsi="Calibri"/>
          <w:b/>
        </w:rPr>
        <w:t>2.3 Handoff Time member</w:t>
      </w:r>
    </w:p>
    <w:p>
      <w:pPr>
        <w:keepLines w:val="0"/>
        <w:widowControl/>
      </w:pPr>
      <w:r>
        <w:rPr>
          <w:rFonts w:ascii="Calibri" w:hAnsi="Calibri"/>
          <w:b w:val="0"/>
          <w:sz w:val="21"/>
        </w:rPr>
        <w:t>If Liam is living at the Handoff Time, the member gives irrevocable advance consent to Liam's admission as sole member effective at the Handoff Time, subject to his adult consent and joinder under Instrument 8. No later discretionary approval is required.</w:t>
      </w:r>
    </w:p>
    <w:p>
      <w:pPr>
        <w:pStyle w:val="Heading2"/>
        <w:pageBreakBefore w:val="0"/>
      </w:pPr>
      <w:r>
        <w:rPr>
          <w:rFonts w:ascii="Calibri" w:hAnsi="Calibri"/>
          <w:b/>
        </w:rPr>
        <w:t>2.4 No additional interests before Handoff Time</w:t>
      </w:r>
    </w:p>
    <w:p>
      <w:pPr>
        <w:keepLines w:val="0"/>
        <w:widowControl/>
      </w:pPr>
      <w:r>
        <w:rPr>
          <w:rFonts w:ascii="Calibri" w:hAnsi="Calibri"/>
          <w:b w:val="0"/>
          <w:sz w:val="21"/>
        </w:rPr>
        <w:t>Before the Handoff Time, the Company may not issue another interest, admit another member, grant equity or a profits interest, create an option or convertible right, or permit dilution. A bona fide sale may replace the Company Interest with Trust sale proceeds, but equity financing or another ownership issuance requires new express family direction and counsel amendment of the Trust structure; it is not authorized by this draft.</w:t>
      </w:r>
    </w:p>
    <w:p>
      <w:pPr>
        <w:pStyle w:val="Heading1"/>
        <w:pageBreakBefore w:val="0"/>
      </w:pPr>
      <w:r>
        <w:rPr>
          <w:rFonts w:ascii="Calibri" w:hAnsi="Calibri"/>
          <w:b/>
        </w:rPr>
        <w:t>Article 3 - Capital, allocations, and distributions</w:t>
      </w:r>
    </w:p>
    <w:p>
      <w:pPr>
        <w:pStyle w:val="Heading2"/>
        <w:pageBreakBefore w:val="0"/>
      </w:pPr>
      <w:r>
        <w:rPr>
          <w:rFonts w:ascii="Calibri" w:hAnsi="Calibri"/>
          <w:b/>
        </w:rPr>
        <w:t>3.1 Initial capital</w:t>
      </w:r>
    </w:p>
    <w:p>
      <w:pPr>
        <w:keepLines w:val="0"/>
        <w:widowControl/>
      </w:pPr>
      <w:r>
        <w:rPr>
          <w:rFonts w:ascii="Calibri" w:hAnsi="Calibri"/>
          <w:b w:val="0"/>
          <w:sz w:val="21"/>
        </w:rPr>
        <w:t>The opening contribution, capital account, and transaction classification are stated on Schedule 5-A after CPA review. No blank amount is incorporated.</w:t>
      </w:r>
    </w:p>
    <w:p>
      <w:pPr>
        <w:pStyle w:val="Heading2"/>
        <w:pageBreakBefore w:val="0"/>
      </w:pPr>
      <w:r>
        <w:rPr>
          <w:rFonts w:ascii="Calibri" w:hAnsi="Calibri"/>
          <w:b/>
        </w:rPr>
        <w:t>3.2 Additional capital</w:t>
      </w:r>
    </w:p>
    <w:p>
      <w:pPr>
        <w:keepLines w:val="0"/>
        <w:widowControl/>
      </w:pPr>
      <w:r>
        <w:rPr>
          <w:rFonts w:ascii="Calibri" w:hAnsi="Calibri"/>
          <w:b w:val="0"/>
          <w:sz w:val="21"/>
        </w:rPr>
        <w:t>No member is required to contribute additional capital. Any contribution, loan, reimbursement, or third-party payment must be approved and recorded in its true legal and accounting category.</w:t>
      </w:r>
    </w:p>
    <w:p>
      <w:pPr>
        <w:pStyle w:val="Heading2"/>
        <w:pageBreakBefore w:val="0"/>
      </w:pPr>
      <w:r>
        <w:rPr>
          <w:rFonts w:ascii="Calibri" w:hAnsi="Calibri"/>
          <w:b/>
        </w:rPr>
        <w:t>3.3 Allocations and tax distributions</w:t>
      </w:r>
    </w:p>
    <w:p>
      <w:pPr>
        <w:keepLines w:val="0"/>
        <w:widowControl/>
      </w:pPr>
      <w:r>
        <w:rPr>
          <w:rFonts w:ascii="Calibri" w:hAnsi="Calibri"/>
          <w:b w:val="0"/>
          <w:sz w:val="21"/>
        </w:rPr>
        <w:t>Profits, losses, and tax items shall be reported as required by applicable tax law and [CPA: selected tax classification and deemed owner]; they are not determined solely by the state-law member label. Company distributions are paid to the trustee as member. Any tax distribution or reimbursement requires prior written tax advice identifying the tax owner, recipient, formula, cap, and estate-tax consequences. Ordinary distributions remain subject to solvency, reserves, Trust restrictions, and law.</w:t>
      </w:r>
    </w:p>
    <w:p>
      <w:pPr>
        <w:pStyle w:val="Heading2"/>
        <w:pageBreakBefore w:val="0"/>
      </w:pPr>
      <w:r>
        <w:rPr>
          <w:rFonts w:ascii="Calibri" w:hAnsi="Calibri"/>
          <w:b/>
        </w:rPr>
        <w:t>3.4 Payments are not interchangeable</w:t>
      </w:r>
    </w:p>
    <w:p>
      <w:pPr>
        <w:keepLines w:val="0"/>
        <w:widowControl/>
      </w:pPr>
      <w:r>
        <w:rPr>
          <w:rFonts w:ascii="Calibri" w:hAnsi="Calibri"/>
          <w:b w:val="0"/>
          <w:sz w:val="21"/>
        </w:rPr>
        <w:t>Company distributions, Trust distributions, wages, expense reimbursements, loans, capital contributions, and parental gifts are legally and operationally distinct. No record may relabel one category as another without contemporaneous evidence and advisor approval.</w:t>
      </w:r>
    </w:p>
    <w:p>
      <w:pPr>
        <w:pStyle w:val="Heading1"/>
        <w:pageBreakBefore w:val="0"/>
      </w:pPr>
      <w:r>
        <w:rPr>
          <w:rFonts w:ascii="Calibri" w:hAnsi="Calibri"/>
          <w:b/>
        </w:rPr>
        <w:t>Article 4 - Manager</w:t>
      </w:r>
    </w:p>
    <w:p>
      <w:pPr>
        <w:pStyle w:val="Heading2"/>
        <w:pageBreakBefore w:val="0"/>
      </w:pPr>
      <w:r>
        <w:rPr>
          <w:rFonts w:ascii="Calibri" w:hAnsi="Calibri"/>
          <w:b/>
        </w:rPr>
        <w:t>4.1 Initial manager</w:t>
      </w:r>
    </w:p>
    <w:p>
      <w:pPr>
        <w:keepLines w:val="0"/>
        <w:widowControl/>
      </w:pPr>
      <w:r>
        <w:rPr>
          <w:rFonts w:ascii="Calibri" w:hAnsi="Calibri"/>
          <w:b w:val="0"/>
          <w:sz w:val="21"/>
        </w:rPr>
        <w:t>Lakshmi Delbel is the initial manager. She acts as manager in a Company capacity distinct from her roles as settlor, trustee, parent, or individual.</w:t>
      </w:r>
    </w:p>
    <w:p>
      <w:pPr>
        <w:pStyle w:val="Heading2"/>
        <w:pageBreakBefore w:val="0"/>
      </w:pPr>
      <w:r>
        <w:rPr>
          <w:rFonts w:ascii="Calibri" w:hAnsi="Calibri"/>
          <w:b/>
        </w:rPr>
        <w:t>4.2 Successor manager</w:t>
      </w:r>
    </w:p>
    <w:p>
      <w:pPr>
        <w:keepLines w:val="0"/>
        <w:widowControl/>
      </w:pPr>
      <w:r>
        <w:rPr>
          <w:rFonts w:ascii="Calibri" w:hAnsi="Calibri"/>
          <w:b w:val="0"/>
          <w:sz w:val="21"/>
        </w:rPr>
        <w:t>Upon Lakshmi's death, Incapacity, resignation, removal for cause, or inability to serve before the Handoff Time, Vik Thadani becomes successor manager upon acceptance under Instrument 7. If Vik cannot serve, the then-serving trustee or a court-appointed professional fiduciary shall appoint a qualified adult manager under the fixed fallback process. At the Handoff Time, Liam becomes manager under Instrument 8 if living and legally able to serve.</w:t>
      </w:r>
    </w:p>
    <w:p>
      <w:pPr>
        <w:pStyle w:val="Heading2"/>
        <w:pageBreakBefore w:val="0"/>
      </w:pPr>
      <w:r>
        <w:rPr>
          <w:rFonts w:ascii="Calibri" w:hAnsi="Calibri"/>
          <w:b/>
        </w:rPr>
        <w:t>4.3 General authority</w:t>
      </w:r>
    </w:p>
    <w:p>
      <w:pPr>
        <w:keepLines w:val="0"/>
        <w:widowControl/>
      </w:pPr>
      <w:r>
        <w:rPr>
          <w:rFonts w:ascii="Calibri" w:hAnsi="Calibri"/>
          <w:b w:val="0"/>
          <w:sz w:val="21"/>
        </w:rPr>
        <w:t>Subject to reserved matters and fiduciary duties, the manager has full authority to manage the Company's business and affairs, including authority to:</w:t>
      </w:r>
    </w:p>
    <w:p>
      <w:pPr>
        <w:widowControl/>
        <w:numPr>
          <w:ilvl w:val="0"/>
          <w:numId w:val="32"/>
        </w:numPr>
      </w:pPr>
      <w:r>
        <w:rPr>
          <w:rFonts w:ascii="Calibri" w:hAnsi="Calibri"/>
          <w:b w:val="0"/>
          <w:sz w:val="20"/>
        </w:rPr>
        <w:t>develop, license, publish, maintain, and support software;</w:t>
      </w:r>
    </w:p>
    <w:p>
      <w:pPr>
        <w:widowControl/>
        <w:numPr>
          <w:ilvl w:val="0"/>
          <w:numId w:val="32"/>
        </w:numPr>
      </w:pPr>
      <w:r>
        <w:rPr>
          <w:rFonts w:ascii="Calibri" w:hAnsi="Calibri"/>
          <w:b w:val="0"/>
          <w:sz w:val="20"/>
        </w:rPr>
        <w:t>acquire, hold, protect, license, and dispose of Company assets and intellectual property;</w:t>
      </w:r>
    </w:p>
    <w:p>
      <w:pPr>
        <w:widowControl/>
        <w:numPr>
          <w:ilvl w:val="0"/>
          <w:numId w:val="32"/>
        </w:numPr>
      </w:pPr>
      <w:r>
        <w:rPr>
          <w:rFonts w:ascii="Calibri" w:hAnsi="Calibri"/>
          <w:b w:val="0"/>
          <w:sz w:val="20"/>
        </w:rPr>
        <w:t>enter contracts, hire employees and contractors, set compensation, and terminate engagements;</w:t>
      </w:r>
    </w:p>
    <w:p>
      <w:pPr>
        <w:widowControl/>
        <w:numPr>
          <w:ilvl w:val="0"/>
          <w:numId w:val="32"/>
        </w:numPr>
      </w:pPr>
      <w:r>
        <w:rPr>
          <w:rFonts w:ascii="Calibri" w:hAnsi="Calibri"/>
          <w:b w:val="0"/>
          <w:sz w:val="20"/>
        </w:rPr>
        <w:t>open and administer Company bank and platform accounts;</w:t>
      </w:r>
    </w:p>
    <w:p>
      <w:pPr>
        <w:widowControl/>
        <w:numPr>
          <w:ilvl w:val="0"/>
          <w:numId w:val="32"/>
        </w:numPr>
      </w:pPr>
      <w:r>
        <w:rPr>
          <w:rFonts w:ascii="Calibri" w:hAnsi="Calibri"/>
          <w:b w:val="0"/>
          <w:sz w:val="20"/>
        </w:rPr>
        <w:t>approve budgets, spending, borrowing, security interests, settlements, and tax elections other than an S election or another material classification election requiring the written approval below;</w:t>
      </w:r>
    </w:p>
    <w:p>
      <w:pPr>
        <w:widowControl/>
        <w:numPr>
          <w:ilvl w:val="0"/>
          <w:numId w:val="32"/>
        </w:numPr>
      </w:pPr>
      <w:r>
        <w:rPr>
          <w:rFonts w:ascii="Calibri" w:hAnsi="Calibri"/>
          <w:b w:val="0"/>
          <w:sz w:val="20"/>
        </w:rPr>
        <w:t>establish cybersecurity, credential, privacy, open-source, export, records, and compliance policies;</w:t>
      </w:r>
    </w:p>
    <w:p>
      <w:pPr>
        <w:widowControl/>
        <w:numPr>
          <w:ilvl w:val="0"/>
          <w:numId w:val="32"/>
        </w:numPr>
      </w:pPr>
      <w:r>
        <w:rPr>
          <w:rFonts w:ascii="Calibri" w:hAnsi="Calibri"/>
          <w:b w:val="0"/>
          <w:sz w:val="20"/>
        </w:rPr>
        <w:t>commence, defend, settle, or release claims;</w:t>
      </w:r>
    </w:p>
    <w:p>
      <w:pPr>
        <w:widowControl/>
        <w:numPr>
          <w:ilvl w:val="0"/>
          <w:numId w:val="32"/>
        </w:numPr>
      </w:pPr>
      <w:r>
        <w:rPr>
          <w:rFonts w:ascii="Calibri" w:hAnsi="Calibri"/>
          <w:b w:val="0"/>
          <w:sz w:val="20"/>
        </w:rPr>
        <w:t>restructure, merge, convert, recapitalize, or sell the Company or substantially all assets in good faith; and</w:t>
      </w:r>
    </w:p>
    <w:p>
      <w:pPr>
        <w:widowControl/>
        <w:numPr>
          <w:ilvl w:val="0"/>
          <w:numId w:val="32"/>
        </w:numPr>
      </w:pPr>
      <w:r>
        <w:rPr>
          <w:rFonts w:ascii="Calibri" w:hAnsi="Calibri"/>
          <w:b w:val="0"/>
          <w:sz w:val="20"/>
        </w:rPr>
        <w:t>delegate limited authority in writing and revoke that delegation.</w:t>
      </w:r>
    </w:p>
    <w:p>
      <w:pPr>
        <w:pStyle w:val="Heading2"/>
        <w:pageBreakBefore w:val="0"/>
      </w:pPr>
      <w:r>
        <w:rPr>
          <w:rFonts w:ascii="Calibri" w:hAnsi="Calibri"/>
          <w:b/>
        </w:rPr>
        <w:t>4.4 Good-faith business discretion</w:t>
      </w:r>
    </w:p>
    <w:p>
      <w:pPr>
        <w:keepLines w:val="0"/>
        <w:widowControl/>
      </w:pPr>
      <w:r>
        <w:rPr>
          <w:rFonts w:ascii="Calibri" w:hAnsi="Calibri"/>
          <w:b w:val="0"/>
          <w:sz w:val="21"/>
        </w:rPr>
        <w:t>The manager has broad discretion to make business judgments in good faith based on information reasonably believed relevant. No provision authorizes bad faith, willful misconduct, reckless indifference, knowing violation, undisclosed self-dealing, diversion of Trust value, or conduct outside delegated authority.</w:t>
      </w:r>
    </w:p>
    <w:p>
      <w:pPr>
        <w:pStyle w:val="Heading2"/>
        <w:pageBreakBefore w:val="0"/>
      </w:pPr>
      <w:r>
        <w:rPr>
          <w:rFonts w:ascii="Calibri" w:hAnsi="Calibri"/>
          <w:b/>
        </w:rPr>
        <w:t>4.5 Sale and proceeds</w:t>
      </w:r>
    </w:p>
    <w:p>
      <w:pPr>
        <w:keepLines w:val="0"/>
        <w:widowControl/>
      </w:pPr>
      <w:r>
        <w:rPr>
          <w:rFonts w:ascii="Calibri" w:hAnsi="Calibri"/>
          <w:b w:val="0"/>
          <w:sz w:val="21"/>
        </w:rPr>
        <w:t>The manager may approve a bona fide sale or restructuring before the Handoff Time if consistent with the Trust. Any owner-level proceeds distributed or payable because of the Trust-owned interest are Trust Property and may not be diverted. Company-level sale proceeds remain Company property until lawfully distributed.</w:t>
      </w:r>
    </w:p>
    <w:p>
      <w:pPr>
        <w:pStyle w:val="Heading2"/>
        <w:pageBreakBefore w:val="0"/>
      </w:pPr>
      <w:r>
        <w:rPr>
          <w:rFonts w:ascii="Calibri" w:hAnsi="Calibri"/>
          <w:b/>
        </w:rPr>
        <w:t>4.6 Delegation to Liam</w:t>
      </w:r>
    </w:p>
    <w:p>
      <w:pPr>
        <w:keepLines w:val="0"/>
        <w:widowControl/>
      </w:pPr>
      <w:r>
        <w:rPr>
          <w:rFonts w:ascii="Calibri" w:hAnsi="Calibri"/>
          <w:b w:val="0"/>
          <w:sz w:val="21"/>
        </w:rPr>
        <w:t>Liam may serve as a non-manager employee and agent under Instruments 6 and 10. Delegation does not make him a member or manager. The Company shall use the narrower of internal authority, applicable law, and each platform's permitted role.</w:t>
      </w:r>
    </w:p>
    <w:p>
      <w:pPr>
        <w:pStyle w:val="Heading1"/>
        <w:pageBreakBefore w:val="0"/>
      </w:pPr>
      <w:r>
        <w:rPr>
          <w:rFonts w:ascii="Calibri" w:hAnsi="Calibri"/>
          <w:b/>
        </w:rPr>
        <w:t>Article 5 - Member reserved matters</w:t>
      </w:r>
    </w:p>
    <w:p>
      <w:pPr>
        <w:keepLines w:val="0"/>
        <w:widowControl/>
      </w:pPr>
      <w:r>
        <w:rPr>
          <w:rFonts w:ascii="Calibri" w:hAnsi="Calibri"/>
          <w:b w:val="0"/>
          <w:sz w:val="21"/>
        </w:rPr>
        <w:t>The sole member must approve in a written fiduciary capacity:</w:t>
      </w:r>
    </w:p>
    <w:p>
      <w:pPr>
        <w:widowControl/>
        <w:numPr>
          <w:ilvl w:val="0"/>
          <w:numId w:val="33"/>
        </w:numPr>
      </w:pPr>
      <w:r>
        <w:rPr>
          <w:rFonts w:ascii="Calibri" w:hAnsi="Calibri"/>
          <w:b w:val="0"/>
          <w:sz w:val="20"/>
        </w:rPr>
        <w:t>amendment of this operating agreement;</w:t>
      </w:r>
    </w:p>
    <w:p>
      <w:pPr>
        <w:widowControl/>
        <w:numPr>
          <w:ilvl w:val="0"/>
          <w:numId w:val="33"/>
        </w:numPr>
      </w:pPr>
      <w:r>
        <w:rPr>
          <w:rFonts w:ascii="Calibri" w:hAnsi="Calibri"/>
          <w:b w:val="0"/>
          <w:sz w:val="20"/>
        </w:rPr>
        <w:t>admission of a member, except the automatic Handoff Time admission already approved;</w:t>
      </w:r>
    </w:p>
    <w:p>
      <w:pPr>
        <w:widowControl/>
        <w:numPr>
          <w:ilvl w:val="0"/>
          <w:numId w:val="33"/>
        </w:numPr>
      </w:pPr>
      <w:r>
        <w:rPr>
          <w:rFonts w:ascii="Calibri" w:hAnsi="Calibri"/>
          <w:b w:val="0"/>
          <w:sz w:val="20"/>
        </w:rPr>
        <w:t>issuance of an interest, equity right, option, or profits interest;</w:t>
      </w:r>
    </w:p>
    <w:p>
      <w:pPr>
        <w:widowControl/>
        <w:numPr>
          <w:ilvl w:val="0"/>
          <w:numId w:val="33"/>
        </w:numPr>
      </w:pPr>
      <w:r>
        <w:rPr>
          <w:rFonts w:ascii="Calibri" w:hAnsi="Calibri"/>
          <w:b w:val="0"/>
          <w:sz w:val="20"/>
        </w:rPr>
        <w:t>merger, conversion, domestication, or dissolution;</w:t>
      </w:r>
    </w:p>
    <w:p>
      <w:pPr>
        <w:widowControl/>
        <w:numPr>
          <w:ilvl w:val="0"/>
          <w:numId w:val="33"/>
        </w:numPr>
      </w:pPr>
      <w:r>
        <w:rPr>
          <w:rFonts w:ascii="Calibri" w:hAnsi="Calibri"/>
          <w:b w:val="0"/>
          <w:sz w:val="20"/>
        </w:rPr>
        <w:t>sale of substantially all Company assets or the Company Interest, unless the final agreement affirmatively delegates that approval to the manager consistent with the Trust;</w:t>
      </w:r>
    </w:p>
    <w:p>
      <w:pPr>
        <w:widowControl/>
        <w:numPr>
          <w:ilvl w:val="0"/>
          <w:numId w:val="33"/>
        </w:numPr>
      </w:pPr>
      <w:r>
        <w:rPr>
          <w:rFonts w:ascii="Calibri" w:hAnsi="Calibri"/>
          <w:b w:val="0"/>
          <w:sz w:val="20"/>
        </w:rPr>
        <w:t>a transaction between the Company and the member, trustee, manager, settlor, successor, or a controlled affiliate;</w:t>
      </w:r>
    </w:p>
    <w:p>
      <w:pPr>
        <w:widowControl/>
        <w:numPr>
          <w:ilvl w:val="0"/>
          <w:numId w:val="33"/>
        </w:numPr>
      </w:pPr>
      <w:r>
        <w:rPr>
          <w:rFonts w:ascii="Calibri" w:hAnsi="Calibri"/>
          <w:b w:val="0"/>
          <w:sz w:val="20"/>
        </w:rPr>
        <w:t>a material tax election or change in tax classification;</w:t>
      </w:r>
    </w:p>
    <w:p>
      <w:pPr>
        <w:widowControl/>
        <w:numPr>
          <w:ilvl w:val="0"/>
          <w:numId w:val="33"/>
        </w:numPr>
      </w:pPr>
      <w:r>
        <w:rPr>
          <w:rFonts w:ascii="Calibri" w:hAnsi="Calibri"/>
          <w:b w:val="0"/>
          <w:sz w:val="20"/>
        </w:rPr>
        <w:t>amendment or settlement affecting the Trust's fixed economics; and</w:t>
      </w:r>
    </w:p>
    <w:p>
      <w:pPr>
        <w:widowControl/>
        <w:numPr>
          <w:ilvl w:val="0"/>
          <w:numId w:val="33"/>
        </w:numPr>
      </w:pPr>
      <w:r>
        <w:rPr>
          <w:rFonts w:ascii="Calibri" w:hAnsi="Calibri"/>
          <w:b w:val="0"/>
          <w:sz w:val="20"/>
        </w:rPr>
        <w:t>[COUNSEL: additional statutory or negotiated reserved matters].</w:t>
      </w:r>
    </w:p>
    <w:p>
      <w:pPr>
        <w:keepLines w:val="0"/>
        <w:widowControl/>
      </w:pPr>
      <w:r>
        <w:rPr>
          <w:rFonts w:ascii="Calibri" w:hAnsi="Calibri"/>
          <w:b w:val="0"/>
          <w:sz w:val="21"/>
        </w:rPr>
        <w:t>Because the member and manager may initially be the same person in different capacities, the record must state which capacity approved each matter and must satisfy the independent conflict-review process. No manager or member may file Form 2553 or another material classification election without written CPA and tax-counsel confirmation of ownership, shareholder eligibility, required consents, effective date, and resulting payroll treatment.</w:t>
      </w:r>
    </w:p>
    <w:p>
      <w:pPr>
        <w:pStyle w:val="Heading1"/>
        <w:pageBreakBefore w:val="0"/>
      </w:pPr>
      <w:r>
        <w:rPr>
          <w:rFonts w:ascii="Calibri" w:hAnsi="Calibri"/>
          <w:b/>
        </w:rPr>
        <w:t>Article 6 - Standards, conflicts, indemnification, and insurance</w:t>
      </w:r>
    </w:p>
    <w:p>
      <w:pPr>
        <w:pStyle w:val="Heading2"/>
        <w:pageBreakBefore w:val="0"/>
      </w:pPr>
      <w:r>
        <w:rPr>
          <w:rFonts w:ascii="Calibri" w:hAnsi="Calibri"/>
          <w:b/>
        </w:rPr>
        <w:t>6.1 Duties</w:t>
      </w:r>
    </w:p>
    <w:p>
      <w:pPr>
        <w:keepLines w:val="0"/>
        <w:widowControl/>
      </w:pPr>
      <w:r>
        <w:rPr>
          <w:rFonts w:ascii="Calibri" w:hAnsi="Calibri"/>
          <w:b w:val="0"/>
          <w:sz w:val="21"/>
        </w:rPr>
        <w:t>The manager and member shall comply with nonwaivable duties, the Trust's sole-benefit rule where applicable, and the obligation to act in good faith. [COUNSEL: state or modify default fiduciary duties with precise Georgia-law language.]</w:t>
      </w:r>
    </w:p>
    <w:p>
      <w:pPr>
        <w:pStyle w:val="Heading2"/>
        <w:pageBreakBefore w:val="0"/>
      </w:pPr>
      <w:r>
        <w:rPr>
          <w:rFonts w:ascii="Calibri" w:hAnsi="Calibri"/>
          <w:b/>
        </w:rPr>
        <w:t>6.2 Conflicts</w:t>
      </w:r>
    </w:p>
    <w:p>
      <w:pPr>
        <w:keepLines w:val="0"/>
        <w:widowControl/>
      </w:pPr>
      <w:r>
        <w:rPr>
          <w:rFonts w:ascii="Calibri" w:hAnsi="Calibri"/>
          <w:b w:val="0"/>
          <w:sz w:val="21"/>
        </w:rPr>
        <w:t>A related-party transaction requires disclosure, a fair-terms record, and approval by [COUNSEL: independent reviewer]. No interested person may approve solely in the conflicted capacity.</w:t>
      </w:r>
    </w:p>
    <w:p>
      <w:pPr>
        <w:pStyle w:val="Heading2"/>
        <w:pageBreakBefore w:val="0"/>
      </w:pPr>
      <w:r>
        <w:rPr>
          <w:rFonts w:ascii="Calibri" w:hAnsi="Calibri"/>
          <w:b/>
        </w:rPr>
        <w:t>6.3 Indemnification</w:t>
      </w:r>
    </w:p>
    <w:p>
      <w:pPr>
        <w:keepLines w:val="0"/>
        <w:widowControl/>
      </w:pPr>
      <w:r>
        <w:rPr>
          <w:rFonts w:ascii="Calibri" w:hAnsi="Calibri"/>
          <w:b w:val="0"/>
          <w:sz w:val="21"/>
        </w:rPr>
        <w:t>The Company shall indemnify a manager, officer, employee, or agent for reasonable costs incurred through good-faith service within authority, to the fullest extent lawful. It shall not indemnify bad faith, willful misconduct, reckless indifference, improper personal benefit, knowing legal violation, or conduct for which indemnity is prohibited.</w:t>
      </w:r>
    </w:p>
    <w:p>
      <w:pPr>
        <w:pStyle w:val="Heading2"/>
        <w:pageBreakBefore w:val="0"/>
      </w:pPr>
      <w:r>
        <w:rPr>
          <w:rFonts w:ascii="Calibri" w:hAnsi="Calibri"/>
          <w:b/>
        </w:rPr>
        <w:t>6.4 Insurance</w:t>
      </w:r>
    </w:p>
    <w:p>
      <w:pPr>
        <w:keepLines w:val="0"/>
        <w:widowControl/>
      </w:pPr>
      <w:r>
        <w:rPr>
          <w:rFonts w:ascii="Calibri" w:hAnsi="Calibri"/>
          <w:b w:val="0"/>
          <w:sz w:val="21"/>
        </w:rPr>
        <w:t>The manager may obtain D&amp;O, E&amp;O, cyber, fiduciary, workers' compensation, and other appropriate insurance. [COUNSEL/CPA: determine required coverage and payroll consequences.]</w:t>
      </w:r>
    </w:p>
    <w:p>
      <w:pPr>
        <w:pStyle w:val="Heading1"/>
        <w:pageBreakBefore w:val="0"/>
      </w:pPr>
      <w:r>
        <w:rPr>
          <w:rFonts w:ascii="Calibri" w:hAnsi="Calibri"/>
          <w:b/>
        </w:rPr>
        <w:t>Article 7 - Transfers and admissions</w:t>
      </w:r>
    </w:p>
    <w:p>
      <w:pPr>
        <w:pStyle w:val="Heading2"/>
        <w:pageBreakBefore w:val="0"/>
      </w:pPr>
      <w:r>
        <w:rPr>
          <w:rFonts w:ascii="Calibri" w:hAnsi="Calibri"/>
          <w:b/>
        </w:rPr>
        <w:t>7.1 General restriction</w:t>
      </w:r>
    </w:p>
    <w:p>
      <w:pPr>
        <w:keepLines w:val="0"/>
        <w:widowControl/>
      </w:pPr>
      <w:r>
        <w:rPr>
          <w:rFonts w:ascii="Calibri" w:hAnsi="Calibri"/>
          <w:b w:val="0"/>
          <w:sz w:val="21"/>
        </w:rPr>
        <w:t>No interest may be transferred except under Instruments 3 and 8, a permitted trustee succession, a good-faith Company sale consistent with the Trust, or a later written amendment lawful under the Trust.</w:t>
      </w:r>
    </w:p>
    <w:p>
      <w:pPr>
        <w:pStyle w:val="Heading2"/>
        <w:pageBreakBefore w:val="0"/>
      </w:pPr>
      <w:r>
        <w:rPr>
          <w:rFonts w:ascii="Calibri" w:hAnsi="Calibri"/>
          <w:b/>
        </w:rPr>
        <w:t>7.2 Economic assignment versus membership</w:t>
      </w:r>
    </w:p>
    <w:p>
      <w:pPr>
        <w:keepLines w:val="0"/>
        <w:widowControl/>
      </w:pPr>
      <w:r>
        <w:rPr>
          <w:rFonts w:ascii="Calibri" w:hAnsi="Calibri"/>
          <w:b w:val="0"/>
          <w:sz w:val="21"/>
        </w:rPr>
        <w:t>An assignee receives only the rights conveyed by law and the instrument. Membership and governance rights require the consent and assignee acceptance required by O.C.G.A. Sections 14-11-502, 14-11-503, and 14-11-505. Instruments 4 and 8 are intended to satisfy those steps.</w:t>
      </w:r>
    </w:p>
    <w:p>
      <w:pPr>
        <w:pStyle w:val="Heading2"/>
        <w:pageBreakBefore w:val="0"/>
      </w:pPr>
      <w:r>
        <w:rPr>
          <w:rFonts w:ascii="Calibri" w:hAnsi="Calibri"/>
          <w:b/>
        </w:rPr>
        <w:t>7.3 Trustee succession</w:t>
      </w:r>
    </w:p>
    <w:p>
      <w:pPr>
        <w:keepLines w:val="0"/>
        <w:widowControl/>
      </w:pPr>
      <w:r>
        <w:rPr>
          <w:rFonts w:ascii="Calibri" w:hAnsi="Calibri"/>
          <w:b w:val="0"/>
          <w:sz w:val="21"/>
        </w:rPr>
        <w:t>For Company record purposes, succession between duly qualified trustees continues the Trust's membership without changing the stated beneficiary. Upon written acceptance of the trusteeship, written consent to the operating agreement and member status, delivery of the required trust certification, and satisfaction of the advance admission conditions, the successor trustee is admitted in fiduciary capacity and the ledger is updated. Any income, gift, estate, S-corporation, or reporting effect remains subject to the tax memorandum and required updates. The Company may not use a ministerial delay to defeat continuity.</w:t>
      </w:r>
    </w:p>
    <w:p>
      <w:pPr>
        <w:pStyle w:val="Heading1"/>
        <w:pageBreakBefore w:val="0"/>
      </w:pPr>
      <w:r>
        <w:rPr>
          <w:rFonts w:ascii="Calibri" w:hAnsi="Calibri"/>
          <w:b/>
        </w:rPr>
        <w:t>Article 8 - Continuity, death, and Incapacity</w:t>
      </w:r>
    </w:p>
    <w:p>
      <w:pPr>
        <w:pStyle w:val="Heading2"/>
        <w:pageBreakBefore w:val="0"/>
      </w:pPr>
      <w:r>
        <w:rPr>
          <w:rFonts w:ascii="Calibri" w:hAnsi="Calibri"/>
          <w:b/>
        </w:rPr>
        <w:t>8.1 No dissolution event</w:t>
      </w:r>
    </w:p>
    <w:p>
      <w:pPr>
        <w:keepLines w:val="0"/>
        <w:widowControl/>
      </w:pPr>
      <w:r>
        <w:rPr>
          <w:rFonts w:ascii="Calibri" w:hAnsi="Calibri"/>
          <w:b w:val="0"/>
          <w:sz w:val="21"/>
        </w:rPr>
        <w:t>The death, Incapacity, resignation, removal, bankruptcy, or cessation of service of a member, trustee, manager, employee, or agent does not by itself dissolve the Company.</w:t>
      </w:r>
    </w:p>
    <w:p>
      <w:pPr>
        <w:pStyle w:val="Heading2"/>
        <w:pageBreakBefore w:val="0"/>
      </w:pPr>
      <w:r>
        <w:rPr>
          <w:rFonts w:ascii="Calibri" w:hAnsi="Calibri"/>
          <w:b/>
        </w:rPr>
        <w:t>8.2 Last-member and successor protections</w:t>
      </w:r>
    </w:p>
    <w:p>
      <w:pPr>
        <w:keepLines w:val="0"/>
        <w:widowControl/>
      </w:pPr>
      <w:r>
        <w:rPr>
          <w:rFonts w:ascii="Calibri" w:hAnsi="Calibri"/>
          <w:b w:val="0"/>
          <w:sz w:val="21"/>
        </w:rPr>
        <w:t>The advance admission and succession provisions are intended to override avoidable last-member gaps and default dissolution risks under O.C.G.A. Sections 14-11-506, 14-11-601.1, and 14-11-602. Instrument 7 controls the transition process.</w:t>
      </w:r>
    </w:p>
    <w:p>
      <w:pPr>
        <w:pStyle w:val="Heading2"/>
        <w:pageBreakBefore w:val="0"/>
      </w:pPr>
      <w:r>
        <w:rPr>
          <w:rFonts w:ascii="Calibri" w:hAnsi="Calibri"/>
          <w:b/>
        </w:rPr>
        <w:t>8.3 Emergency authority</w:t>
      </w:r>
    </w:p>
    <w:p>
      <w:pPr>
        <w:keepLines w:val="0"/>
        <w:widowControl/>
      </w:pPr>
      <w:r>
        <w:rPr>
          <w:rFonts w:ascii="Calibri" w:hAnsi="Calibri"/>
          <w:b w:val="0"/>
          <w:sz w:val="21"/>
        </w:rPr>
        <w:t>During a verified transition, the successor may take only actions reasonably necessary to preserve assets, payroll, security, customer obligations, domains, repositories, and regulated accounts until full acceptance is recorded.</w:t>
      </w:r>
    </w:p>
    <w:p>
      <w:pPr>
        <w:pStyle w:val="Heading1"/>
        <w:pageBreakBefore w:val="0"/>
      </w:pPr>
      <w:r>
        <w:rPr>
          <w:rFonts w:ascii="Calibri" w:hAnsi="Calibri"/>
          <w:b/>
        </w:rPr>
        <w:t>Article 9 - Records and information</w:t>
      </w:r>
    </w:p>
    <w:p>
      <w:pPr>
        <w:keepLines w:val="0"/>
        <w:widowControl/>
      </w:pPr>
      <w:r>
        <w:rPr>
          <w:rFonts w:ascii="Calibri" w:hAnsi="Calibri"/>
          <w:b w:val="0"/>
          <w:sz w:val="21"/>
        </w:rPr>
        <w:t>The Company shall maintain:</w:t>
      </w:r>
    </w:p>
    <w:p>
      <w:pPr>
        <w:widowControl/>
        <w:numPr>
          <w:ilvl w:val="0"/>
          <w:numId w:val="34"/>
        </w:numPr>
      </w:pPr>
      <w:r>
        <w:rPr>
          <w:rFonts w:ascii="Calibri" w:hAnsi="Calibri"/>
          <w:b w:val="0"/>
          <w:sz w:val="20"/>
        </w:rPr>
        <w:t>articles, amendments, operating agreements, member and manager actions;</w:t>
      </w:r>
    </w:p>
    <w:p>
      <w:pPr>
        <w:widowControl/>
        <w:numPr>
          <w:ilvl w:val="0"/>
          <w:numId w:val="34"/>
        </w:numPr>
      </w:pPr>
      <w:r>
        <w:rPr>
          <w:rFonts w:ascii="Calibri" w:hAnsi="Calibri"/>
          <w:b w:val="0"/>
          <w:sz w:val="20"/>
        </w:rPr>
        <w:t>the member and manager ledger;</w:t>
      </w:r>
    </w:p>
    <w:p>
      <w:pPr>
        <w:widowControl/>
        <w:numPr>
          <w:ilvl w:val="0"/>
          <w:numId w:val="34"/>
        </w:numPr>
      </w:pPr>
      <w:r>
        <w:rPr>
          <w:rFonts w:ascii="Calibri" w:hAnsi="Calibri"/>
          <w:b w:val="0"/>
          <w:sz w:val="20"/>
        </w:rPr>
        <w:t>Trust certification and succession records;</w:t>
      </w:r>
    </w:p>
    <w:p>
      <w:pPr>
        <w:widowControl/>
        <w:numPr>
          <w:ilvl w:val="0"/>
          <w:numId w:val="34"/>
        </w:numPr>
      </w:pPr>
      <w:r>
        <w:rPr>
          <w:rFonts w:ascii="Calibri" w:hAnsi="Calibri"/>
          <w:b w:val="0"/>
          <w:sz w:val="20"/>
        </w:rPr>
        <w:t>tax returns, financial statements, capital and loan ledgers;</w:t>
      </w:r>
    </w:p>
    <w:p>
      <w:pPr>
        <w:widowControl/>
        <w:numPr>
          <w:ilvl w:val="0"/>
          <w:numId w:val="34"/>
        </w:numPr>
      </w:pPr>
      <w:r>
        <w:rPr>
          <w:rFonts w:ascii="Calibri" w:hAnsi="Calibri"/>
          <w:b w:val="0"/>
          <w:sz w:val="20"/>
        </w:rPr>
        <w:t>contracts, licenses, payroll, and expense records;</w:t>
      </w:r>
    </w:p>
    <w:p>
      <w:pPr>
        <w:widowControl/>
        <w:numPr>
          <w:ilvl w:val="0"/>
          <w:numId w:val="34"/>
        </w:numPr>
      </w:pPr>
      <w:r>
        <w:rPr>
          <w:rFonts w:ascii="Calibri" w:hAnsi="Calibri"/>
          <w:b w:val="0"/>
          <w:sz w:val="20"/>
        </w:rPr>
        <w:t>the IP asset, contributor, dependency, and provenance schedules;</w:t>
      </w:r>
    </w:p>
    <w:p>
      <w:pPr>
        <w:widowControl/>
        <w:numPr>
          <w:ilvl w:val="0"/>
          <w:numId w:val="34"/>
        </w:numPr>
      </w:pPr>
      <w:r>
        <w:rPr>
          <w:rFonts w:ascii="Calibri" w:hAnsi="Calibri"/>
          <w:b w:val="0"/>
          <w:sz w:val="20"/>
        </w:rPr>
        <w:t>platform, account, credential, and recovery registers;</w:t>
      </w:r>
    </w:p>
    <w:p>
      <w:pPr>
        <w:widowControl/>
        <w:numPr>
          <w:ilvl w:val="0"/>
          <w:numId w:val="34"/>
        </w:numPr>
      </w:pPr>
      <w:r>
        <w:rPr>
          <w:rFonts w:ascii="Calibri" w:hAnsi="Calibri"/>
          <w:b w:val="0"/>
          <w:sz w:val="20"/>
        </w:rPr>
        <w:t>release, package, copyright, and open-source records; and</w:t>
      </w:r>
    </w:p>
    <w:p>
      <w:pPr>
        <w:widowControl/>
        <w:numPr>
          <w:ilvl w:val="0"/>
          <w:numId w:val="34"/>
        </w:numPr>
      </w:pPr>
      <w:r>
        <w:rPr>
          <w:rFonts w:ascii="Calibri" w:hAnsi="Calibri"/>
          <w:b w:val="0"/>
          <w:sz w:val="20"/>
        </w:rPr>
        <w:t>Handoff Time and escrow closing records.</w:t>
      </w:r>
    </w:p>
    <w:p>
      <w:pPr>
        <w:keepLines w:val="0"/>
        <w:widowControl/>
      </w:pPr>
      <w:r>
        <w:rPr>
          <w:rFonts w:ascii="Calibri" w:hAnsi="Calibri"/>
          <w:b w:val="0"/>
          <w:sz w:val="21"/>
        </w:rPr>
        <w:t>Liam shall receive information through the Trust report and employment role, subject to security and legal limits. No provision restricts a statutory information right that cannot be waived.</w:t>
      </w:r>
    </w:p>
    <w:p>
      <w:pPr>
        <w:pStyle w:val="Heading1"/>
        <w:pageBreakBefore w:val="0"/>
      </w:pPr>
      <w:r>
        <w:rPr>
          <w:rFonts w:ascii="Calibri" w:hAnsi="Calibri"/>
          <w:b/>
        </w:rPr>
        <w:t>Article 10 - Amendments</w:t>
      </w:r>
    </w:p>
    <w:p>
      <w:pPr>
        <w:keepLines w:val="0"/>
        <w:widowControl/>
      </w:pPr>
      <w:r>
        <w:rPr>
          <w:rFonts w:ascii="Calibri" w:hAnsi="Calibri"/>
          <w:b w:val="0"/>
          <w:sz w:val="21"/>
        </w:rPr>
        <w:t>Before the Handoff Time, no amendment may:</w:t>
      </w:r>
    </w:p>
    <w:p>
      <w:pPr>
        <w:widowControl/>
        <w:numPr>
          <w:ilvl w:val="0"/>
          <w:numId w:val="35"/>
        </w:numPr>
      </w:pPr>
      <w:r>
        <w:rPr>
          <w:rFonts w:ascii="Calibri" w:hAnsi="Calibri"/>
          <w:b w:val="0"/>
          <w:sz w:val="20"/>
        </w:rPr>
        <w:t>revoke or redirect the Trust;</w:t>
      </w:r>
    </w:p>
    <w:p>
      <w:pPr>
        <w:widowControl/>
        <w:numPr>
          <w:ilvl w:val="0"/>
          <w:numId w:val="35"/>
        </w:numPr>
      </w:pPr>
      <w:r>
        <w:rPr>
          <w:rFonts w:ascii="Calibri" w:hAnsi="Calibri"/>
          <w:b w:val="0"/>
          <w:sz w:val="20"/>
        </w:rPr>
        <w:t>change Liam's fixed beneficial ownership while living;</w:t>
      </w:r>
    </w:p>
    <w:p>
      <w:pPr>
        <w:widowControl/>
        <w:numPr>
          <w:ilvl w:val="0"/>
          <w:numId w:val="35"/>
        </w:numPr>
      </w:pPr>
      <w:r>
        <w:rPr>
          <w:rFonts w:ascii="Calibri" w:hAnsi="Calibri"/>
          <w:b w:val="0"/>
          <w:sz w:val="20"/>
        </w:rPr>
        <w:t>postpone the Handoff Time;</w:t>
      </w:r>
    </w:p>
    <w:p>
      <w:pPr>
        <w:widowControl/>
        <w:numPr>
          <w:ilvl w:val="0"/>
          <w:numId w:val="35"/>
        </w:numPr>
      </w:pPr>
      <w:r>
        <w:rPr>
          <w:rFonts w:ascii="Calibri" w:hAnsi="Calibri"/>
          <w:b w:val="0"/>
          <w:sz w:val="20"/>
        </w:rPr>
        <w:t>change the pre-Handoff death disposition;</w:t>
      </w:r>
    </w:p>
    <w:p>
      <w:pPr>
        <w:widowControl/>
        <w:numPr>
          <w:ilvl w:val="0"/>
          <w:numId w:val="35"/>
        </w:numPr>
      </w:pPr>
      <w:r>
        <w:rPr>
          <w:rFonts w:ascii="Calibri" w:hAnsi="Calibri"/>
          <w:b w:val="0"/>
          <w:sz w:val="20"/>
        </w:rPr>
        <w:t>divert sale proceeds or substitute value; or</w:t>
      </w:r>
    </w:p>
    <w:p>
      <w:pPr>
        <w:widowControl/>
        <w:numPr>
          <w:ilvl w:val="0"/>
          <w:numId w:val="35"/>
        </w:numPr>
      </w:pPr>
      <w:r>
        <w:rPr>
          <w:rFonts w:ascii="Calibri" w:hAnsi="Calibri"/>
          <w:b w:val="0"/>
          <w:sz w:val="20"/>
        </w:rPr>
        <w:t>make a beneficiary personally liable for Company obligations.</w:t>
      </w:r>
    </w:p>
    <w:p>
      <w:pPr>
        <w:keepLines w:val="0"/>
        <w:widowControl/>
      </w:pPr>
      <w:r>
        <w:rPr>
          <w:rFonts w:ascii="Calibri" w:hAnsi="Calibri"/>
          <w:b w:val="0"/>
          <w:sz w:val="21"/>
        </w:rPr>
        <w:t>After the Handoff Time and Liam's admission, Liam as sole member may amend the operating agreement subject to law and any surviving obligations.</w:t>
      </w:r>
    </w:p>
    <w:p>
      <w:pPr>
        <w:pStyle w:val="Heading1"/>
        <w:pageBreakBefore w:val="0"/>
      </w:pPr>
      <w:r>
        <w:rPr>
          <w:rFonts w:ascii="Calibri" w:hAnsi="Calibri"/>
          <w:b/>
        </w:rPr>
        <w:t>Article 11 - Dissolution and winding up</w:t>
      </w:r>
    </w:p>
    <w:p>
      <w:pPr>
        <w:keepLines w:val="0"/>
        <w:widowControl/>
      </w:pPr>
      <w:r>
        <w:rPr>
          <w:rFonts w:ascii="Calibri" w:hAnsi="Calibri"/>
          <w:b w:val="0"/>
          <w:sz w:val="21"/>
        </w:rPr>
        <w:t>The Company dissolves only upon a lawful written decision by the sole member after required approvals, entry of a judicial decree, or another nonwaivable statutory event. On winding up, Company creditors are paid or provided for before distributions. Any distribution to the Trust before the Handoff Time remains Trust Property.</w:t>
      </w:r>
    </w:p>
    <w:p>
      <w:pPr>
        <w:pStyle w:val="Heading1"/>
        <w:pageBreakBefore w:val="0"/>
      </w:pPr>
      <w:r>
        <w:rPr>
          <w:rFonts w:ascii="Calibri" w:hAnsi="Calibri"/>
          <w:b/>
        </w:rPr>
        <w:t>Article 12 - Miscellaneous</w:t>
      </w:r>
    </w:p>
    <w:p>
      <w:pPr>
        <w:widowControl/>
        <w:numPr>
          <w:ilvl w:val="0"/>
          <w:numId w:val="36"/>
        </w:numPr>
      </w:pPr>
      <w:r>
        <w:rPr>
          <w:rFonts w:ascii="Calibri" w:hAnsi="Calibri"/>
          <w:b/>
          <w:sz w:val="20"/>
        </w:rPr>
        <w:t>Governing law:</w:t>
      </w:r>
      <w:r>
        <w:rPr>
          <w:rFonts w:ascii="Calibri" w:hAnsi="Calibri"/>
          <w:b w:val="0"/>
          <w:sz w:val="20"/>
        </w:rPr>
        <w:t xml:space="preserve"> Georgia.</w:t>
      </w:r>
    </w:p>
    <w:p>
      <w:pPr>
        <w:widowControl/>
        <w:numPr>
          <w:ilvl w:val="0"/>
          <w:numId w:val="36"/>
        </w:numPr>
      </w:pPr>
      <w:r>
        <w:rPr>
          <w:rFonts w:ascii="Calibri" w:hAnsi="Calibri"/>
          <w:b/>
          <w:sz w:val="20"/>
        </w:rPr>
        <w:t>Entire agreement:</w:t>
      </w:r>
      <w:r>
        <w:rPr>
          <w:rFonts w:ascii="Calibri" w:hAnsi="Calibri"/>
          <w:b w:val="0"/>
          <w:sz w:val="20"/>
        </w:rPr>
        <w:t xml:space="preserve"> This written agreement and expressly incorporated schedules.</w:t>
      </w:r>
    </w:p>
    <w:p>
      <w:pPr>
        <w:widowControl/>
        <w:numPr>
          <w:ilvl w:val="0"/>
          <w:numId w:val="36"/>
        </w:numPr>
      </w:pPr>
      <w:r>
        <w:rPr>
          <w:rFonts w:ascii="Calibri" w:hAnsi="Calibri"/>
          <w:b/>
          <w:sz w:val="20"/>
        </w:rPr>
        <w:t>Severability/reformation:</w:t>
      </w:r>
      <w:r>
        <w:rPr>
          <w:rFonts w:ascii="Calibri" w:hAnsi="Calibri"/>
          <w:b w:val="0"/>
          <w:sz w:val="20"/>
        </w:rPr>
        <w:t xml:space="preserve"> Preserve manager management, continuity, and fixed Trust economics.</w:t>
      </w:r>
    </w:p>
    <w:p>
      <w:pPr>
        <w:widowControl/>
        <w:numPr>
          <w:ilvl w:val="0"/>
          <w:numId w:val="36"/>
        </w:numPr>
      </w:pPr>
      <w:r>
        <w:rPr>
          <w:rFonts w:ascii="Calibri" w:hAnsi="Calibri"/>
          <w:b/>
          <w:sz w:val="20"/>
        </w:rPr>
        <w:t>No third-party beneficiary:</w:t>
      </w:r>
      <w:r>
        <w:rPr>
          <w:rFonts w:ascii="Calibri" w:hAnsi="Calibri"/>
          <w:b w:val="0"/>
          <w:sz w:val="20"/>
        </w:rPr>
        <w:t xml:space="preserve"> Except rights expressly granted to Liam under the coordinated instruments and rights of indemnified persons.</w:t>
      </w:r>
    </w:p>
    <w:p>
      <w:pPr>
        <w:widowControl/>
        <w:numPr>
          <w:ilvl w:val="0"/>
          <w:numId w:val="36"/>
        </w:numPr>
      </w:pPr>
      <w:r>
        <w:rPr>
          <w:rFonts w:ascii="Calibri" w:hAnsi="Calibri"/>
          <w:b/>
          <w:sz w:val="20"/>
        </w:rPr>
        <w:t>Notices:</w:t>
      </w:r>
      <w:r>
        <w:rPr>
          <w:rFonts w:ascii="Calibri" w:hAnsi="Calibri"/>
          <w:b w:val="0"/>
          <w:sz w:val="20"/>
        </w:rPr>
        <w:t xml:space="preserve"> [COUNSEL].</w:t>
      </w:r>
    </w:p>
    <w:p>
      <w:pPr>
        <w:widowControl/>
        <w:numPr>
          <w:ilvl w:val="0"/>
          <w:numId w:val="36"/>
        </w:numPr>
      </w:pPr>
      <w:r>
        <w:rPr>
          <w:rFonts w:ascii="Calibri" w:hAnsi="Calibri"/>
          <w:b/>
          <w:sz w:val="20"/>
        </w:rPr>
        <w:t>Electronic records/signatures:</w:t>
      </w:r>
      <w:r>
        <w:rPr>
          <w:rFonts w:ascii="Calibri" w:hAnsi="Calibri"/>
          <w:b w:val="0"/>
          <w:sz w:val="20"/>
        </w:rPr>
        <w:t xml:space="preserve"> [COUNSEL].</w:t>
      </w:r>
    </w:p>
    <w:p>
      <w:pPr>
        <w:widowControl/>
        <w:numPr>
          <w:ilvl w:val="0"/>
          <w:numId w:val="36"/>
        </w:numPr>
      </w:pPr>
      <w:r>
        <w:rPr>
          <w:rFonts w:ascii="Calibri" w:hAnsi="Calibri"/>
          <w:b/>
          <w:sz w:val="20"/>
        </w:rPr>
        <w:t>Tax matters representative:</w:t>
      </w:r>
      <w:r>
        <w:rPr>
          <w:rFonts w:ascii="Calibri" w:hAnsi="Calibri"/>
          <w:b w:val="0"/>
          <w:sz w:val="20"/>
        </w:rPr>
        <w:t xml:space="preserve"> [CPA/COUNSEL].</w:t>
      </w:r>
    </w:p>
    <w:p>
      <w:pPr>
        <w:pStyle w:val="Heading1"/>
        <w:pageBreakBefore/>
      </w:pPr>
      <w:r>
        <w:rPr>
          <w:rFonts w:ascii="Calibri" w:hAnsi="Calibri"/>
          <w:b/>
        </w:rPr>
        <w:t>Schedule 5-A - Member and capital ledger</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1F4D78"/>
            <w:tcMar>
              <w:top w:w="80" w:type="dxa"/>
              <w:bottom w:w="80" w:type="dxa"/>
              <w:start w:w="120" w:type="dxa"/>
              <w:end w:w="120" w:type="dxa"/>
            </w:tcMar>
          </w:tcPr>
          <w:p>
            <w:pPr>
              <w:pStyle w:val="TableText"/>
              <w:jc w:val="left"/>
            </w:pPr>
            <w:r>
              <w:rPr>
                <w:rFonts w:ascii="Calibri" w:hAnsi="Calibri"/>
                <w:b/>
                <w:color w:val="FFFFFF"/>
                <w:sz w:val="17"/>
              </w:rPr>
              <w:t>Item</w:t>
            </w:r>
          </w:p>
        </w:tc>
        <w:tc>
          <w:tcPr>
            <w:tcW w:type="dxa" w:w="7260"/>
            <w:vAlign w:val="center"/>
            <w:shd w:fill="1F4D78"/>
            <w:tcMar>
              <w:top w:w="80" w:type="dxa"/>
              <w:bottom w:w="80" w:type="dxa"/>
              <w:start w:w="120" w:type="dxa"/>
              <w:end w:w="120" w:type="dxa"/>
            </w:tcMar>
          </w:tcPr>
          <w:p>
            <w:pPr>
              <w:pStyle w:val="TableText"/>
              <w:jc w:val="left"/>
            </w:pPr>
            <w:r>
              <w:rPr>
                <w:rFonts w:ascii="Calibri" w:hAnsi="Calibri"/>
                <w:b/>
                <w:color w:val="FFFFFF"/>
                <w:sz w:val="17"/>
              </w:rPr>
              <w:t>Entry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Member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Then-serving trustee of Caisson Interest Trust dated [date]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Percentage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100%</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Book equity/opening capital</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Member contribution history</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[CPA/COUNSEL: description and date from evidence]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Federal tax owner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[CPA/TAX COUNSEL]</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Outside basis or equivalent owner basis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Separate tax workpaper; [CPA]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Company asset basis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Separate tax workpaper; [CPA]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Company tax classification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Tax year/accounting method</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w:t>
            </w:r>
          </w:p>
        </w:tc>
      </w:tr>
    </w:tbl>
    <w:p>
      <w:pPr>
        <w:spacing w:after="40"/>
      </w:pPr>
    </w:p>
    <w:p>
      <w:pPr>
        <w:pStyle w:val="Heading1"/>
        <w:pageBreakBefore/>
      </w:pPr>
      <w:r>
        <w:rPr>
          <w:rFonts w:ascii="Calibri" w:hAnsi="Calibri"/>
          <w:b/>
        </w:rPr>
        <w:t>Schedule 5-B - Manager ledger</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800"/>
        <w:gridCol w:w="3400"/>
        <w:gridCol w:w="4160"/>
      </w:tblGrid>
      <w:tr>
        <w:trPr>
          <w:cantSplit w:val="true"/>
          <w:tblHeader w:val="true"/>
        </w:trPr>
        <w:tc>
          <w:tcPr>
            <w:tcW w:type="dxa" w:w="1800"/>
            <w:vAlign w:val="center"/>
            <w:shd w:fill="1F4D78"/>
            <w:tcMar>
              <w:top w:w="80" w:type="dxa"/>
              <w:bottom w:w="80" w:type="dxa"/>
              <w:start w:w="120" w:type="dxa"/>
              <w:end w:w="120" w:type="dxa"/>
            </w:tcMar>
          </w:tcPr>
          <w:p>
            <w:pPr>
              <w:pStyle w:val="TableText"/>
              <w:jc w:val="left"/>
            </w:pPr>
            <w:r>
              <w:rPr>
                <w:rFonts w:ascii="Calibri" w:hAnsi="Calibri"/>
                <w:b/>
                <w:color w:val="FFFFFF"/>
                <w:sz w:val="17"/>
              </w:rPr>
              <w:t>Period/event</w:t>
            </w:r>
          </w:p>
        </w:tc>
        <w:tc>
          <w:tcPr>
            <w:tcW w:type="dxa" w:w="3400"/>
            <w:vAlign w:val="center"/>
            <w:shd w:fill="1F4D78"/>
            <w:tcMar>
              <w:top w:w="80" w:type="dxa"/>
              <w:bottom w:w="80" w:type="dxa"/>
              <w:start w:w="120" w:type="dxa"/>
              <w:end w:w="120" w:type="dxa"/>
            </w:tcMar>
          </w:tcPr>
          <w:p>
            <w:pPr>
              <w:pStyle w:val="TableText"/>
              <w:jc w:val="left"/>
            </w:pPr>
            <w:r>
              <w:rPr>
                <w:rFonts w:ascii="Calibri" w:hAnsi="Calibri"/>
                <w:b/>
                <w:color w:val="FFFFFF"/>
                <w:sz w:val="17"/>
              </w:rPr>
              <w:t>Manager</w:t>
            </w:r>
          </w:p>
        </w:tc>
        <w:tc>
          <w:tcPr>
            <w:tcW w:type="dxa" w:w="4160"/>
            <w:vAlign w:val="center"/>
            <w:shd w:fill="1F4D78"/>
            <w:tcMar>
              <w:top w:w="80" w:type="dxa"/>
              <w:bottom w:w="80" w:type="dxa"/>
              <w:start w:w="120" w:type="dxa"/>
              <w:end w:w="120" w:type="dxa"/>
            </w:tcMar>
          </w:tcPr>
          <w:p>
            <w:pPr>
              <w:pStyle w:val="TableText"/>
              <w:jc w:val="left"/>
            </w:pPr>
            <w:r>
              <w:rPr>
                <w:rFonts w:ascii="Calibri" w:hAnsi="Calibri"/>
                <w:b/>
                <w:color w:val="FFFFFF"/>
                <w:sz w:val="17"/>
              </w:rPr>
              <w:t>Evidence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Coordinated closing through first transition</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Lakshmi Delbel</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6 and articles amendment</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Lakshmi transition before Handoff Time</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Vik Thadani</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7 acceptance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Named managers unavailable</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[Professional/court-appointed manager]</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7 order/acceptance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Handoff Time if Liam living</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Liam Thadani</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Instrument 8 closing certificate</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supply final member consent, manager acceptance, articles amendment, schedules, tax provisions, signature blocks, and execution opinion.</w:t>
      </w:r>
    </w:p>
    <w:p>
      <w:pPr>
        <w:pStyle w:val="Heading1"/>
        <w:pageBreakBefore/>
      </w:pPr>
      <w:r>
        <w:rPr>
          <w:rFonts w:ascii="Calibri" w:hAnsi="Calibri"/>
          <w:b/>
        </w:rPr>
        <w:t>Instrument 6 - Manager Appointment, Delegated Authority, and Platform Schedule</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Part A - Member action and manager appointment</w:t>
      </w:r>
    </w:p>
    <w:p>
      <w:pPr>
        <w:pStyle w:val="Heading2"/>
        <w:pageBreakBefore w:val="0"/>
      </w:pPr>
      <w:r>
        <w:rPr>
          <w:rFonts w:ascii="Calibri" w:hAnsi="Calibri"/>
          <w:b/>
        </w:rPr>
        <w:t>1. Appointment</w:t>
      </w:r>
    </w:p>
    <w:p>
      <w:pPr>
        <w:keepLines w:val="0"/>
        <w:widowControl/>
      </w:pPr>
      <w:r>
        <w:rPr>
          <w:rFonts w:ascii="Calibri" w:hAnsi="Calibri"/>
          <w:b w:val="0"/>
          <w:sz w:val="21"/>
        </w:rPr>
        <w:t>Effective upon the coordinated closing and the effectiveness of the manager-managed articles and operating agreement, the trustee as sole member appoints Lakshmi Delbel as initial manager of the Company. Lakshmi accepts only in manager capacity and agrees to the final operating agreement, Trust restrictions, conflict controls, and continuity plan.</w:t>
      </w:r>
    </w:p>
    <w:p>
      <w:pPr>
        <w:pStyle w:val="Heading2"/>
        <w:pageBreakBefore w:val="0"/>
      </w:pPr>
      <w:r>
        <w:rPr>
          <w:rFonts w:ascii="Calibri" w:hAnsi="Calibri"/>
          <w:b/>
        </w:rPr>
        <w:t>2. Manager authority certificate</w:t>
      </w:r>
    </w:p>
    <w:p>
      <w:pPr>
        <w:keepLines w:val="0"/>
        <w:widowControl/>
      </w:pPr>
      <w:r>
        <w:rPr>
          <w:rFonts w:ascii="Calibri" w:hAnsi="Calibri"/>
          <w:b w:val="0"/>
          <w:sz w:val="21"/>
        </w:rPr>
        <w:t>The Company may issue a short certificate stating that Lakshmi is manager and is authorized to bind the Company within the final operating agreement. The certificate shall not state that she individually owns the Company after the trust closing.</w:t>
      </w:r>
    </w:p>
    <w:p>
      <w:pPr>
        <w:pStyle w:val="Heading2"/>
        <w:pageBreakBefore w:val="0"/>
      </w:pPr>
      <w:r>
        <w:rPr>
          <w:rFonts w:ascii="Calibri" w:hAnsi="Calibri"/>
          <w:b/>
        </w:rPr>
        <w:t>3. Successor</w:t>
      </w:r>
    </w:p>
    <w:p>
      <w:pPr>
        <w:keepLines w:val="0"/>
        <w:widowControl/>
      </w:pPr>
      <w:r>
        <w:rPr>
          <w:rFonts w:ascii="Calibri" w:hAnsi="Calibri"/>
          <w:b w:val="0"/>
          <w:sz w:val="21"/>
        </w:rPr>
        <w:t>Vik Thadani is designated successor manager on the events and terms stated in Instrument 7. The designation is not effective until the triggering event and acceptance, except for narrowly defined emergency-preservation powers.</w:t>
      </w:r>
    </w:p>
    <w:p>
      <w:pPr>
        <w:pStyle w:val="Heading2"/>
        <w:pageBreakBefore w:val="0"/>
      </w:pPr>
      <w:r>
        <w:rPr>
          <w:rFonts w:ascii="Calibri" w:hAnsi="Calibri"/>
          <w:b/>
        </w:rPr>
        <w:t>4. Appointment of Liam as non-manager employee and agent</w:t>
      </w:r>
    </w:p>
    <w:p>
      <w:pPr>
        <w:keepLines w:val="0"/>
        <w:widowControl/>
      </w:pPr>
      <w:r>
        <w:rPr>
          <w:rFonts w:ascii="Calibri" w:hAnsi="Calibri"/>
          <w:b w:val="0"/>
          <w:sz w:val="21"/>
        </w:rPr>
        <w:t>Subject to Instrument 10, the manager appoints Liam Thadani as "Founder and Product Lead" and as a non-manager employee and limited Company agent. The title does not imply membership, manager status, legal adulthood, bank ownership, or authority beyond this instrument.</w:t>
      </w:r>
    </w:p>
    <w:p>
      <w:pPr>
        <w:pStyle w:val="Heading1"/>
        <w:pageBreakBefore w:val="0"/>
      </w:pPr>
      <w:r>
        <w:rPr>
          <w:rFonts w:ascii="Calibri" w:hAnsi="Calibri"/>
          <w:b/>
        </w:rPr>
        <w:t>Part B - Liam's delegated operational authority</w:t>
      </w:r>
    </w:p>
    <w:p>
      <w:pPr>
        <w:pStyle w:val="Heading2"/>
        <w:pageBreakBefore w:val="0"/>
      </w:pPr>
      <w:r>
        <w:rPr>
          <w:rFonts w:ascii="Calibri" w:hAnsi="Calibri"/>
          <w:b/>
        </w:rPr>
        <w:t>5. General grant</w:t>
      </w:r>
    </w:p>
    <w:p>
      <w:pPr>
        <w:keepLines w:val="0"/>
        <w:widowControl/>
      </w:pPr>
      <w:r>
        <w:rPr>
          <w:rFonts w:ascii="Calibri" w:hAnsi="Calibri"/>
          <w:b w:val="0"/>
          <w:sz w:val="21"/>
        </w:rPr>
        <w:t>Within an approved budget, security policy, platform role, and the thresholds below, Liam may manage day-to-day product and technical operations. The delegation is intended to be broad enough for real work but narrow enough that third parties can determine when the manager's approval or signature is required.</w:t>
      </w:r>
    </w:p>
    <w:p>
      <w:pPr>
        <w:pStyle w:val="Heading2"/>
        <w:pageBreakBefore w:val="0"/>
      </w:pPr>
      <w:r>
        <w:rPr>
          <w:rFonts w:ascii="Calibri" w:hAnsi="Calibri"/>
          <w:b/>
        </w:rPr>
        <w:t>6. Actions Liam may take without separate transaction approval</w:t>
      </w:r>
    </w:p>
    <w:p>
      <w:pPr>
        <w:keepLines w:val="0"/>
        <w:widowControl/>
      </w:pPr>
      <w:r>
        <w:rPr>
          <w:rFonts w:ascii="Calibri" w:hAnsi="Calibri"/>
          <w:b w:val="0"/>
          <w:sz w:val="21"/>
        </w:rPr>
        <w:t>Liam may, in the Company's name and using Company-controlled accounts:</w:t>
      </w:r>
    </w:p>
    <w:p>
      <w:pPr>
        <w:widowControl/>
        <w:numPr>
          <w:ilvl w:val="0"/>
          <w:numId w:val="37"/>
        </w:numPr>
      </w:pPr>
      <w:r>
        <w:rPr>
          <w:rFonts w:ascii="Calibri" w:hAnsi="Calibri"/>
          <w:b w:val="0"/>
          <w:sz w:val="20"/>
        </w:rPr>
        <w:t>design, write, test, document, maintain, and deploy Company software;</w:t>
      </w:r>
    </w:p>
    <w:p>
      <w:pPr>
        <w:widowControl/>
        <w:numPr>
          <w:ilvl w:val="0"/>
          <w:numId w:val="37"/>
        </w:numPr>
      </w:pPr>
      <w:r>
        <w:rPr>
          <w:rFonts w:ascii="Calibri" w:hAnsi="Calibri"/>
          <w:b w:val="0"/>
          <w:sz w:val="20"/>
        </w:rPr>
        <w:t>administer repositories, issue trackers, CI, staging environments, and approved production deployments;</w:t>
      </w:r>
    </w:p>
    <w:p>
      <w:pPr>
        <w:widowControl/>
        <w:numPr>
          <w:ilvl w:val="0"/>
          <w:numId w:val="37"/>
        </w:numPr>
      </w:pPr>
      <w:r>
        <w:rPr>
          <w:rFonts w:ascii="Calibri" w:hAnsi="Calibri"/>
          <w:b w:val="0"/>
          <w:sz w:val="20"/>
        </w:rPr>
        <w:t>select and configure routine development tools and open-source dependencies under Company policy;</w:t>
      </w:r>
    </w:p>
    <w:p>
      <w:pPr>
        <w:widowControl/>
        <w:numPr>
          <w:ilvl w:val="0"/>
          <w:numId w:val="37"/>
        </w:numPr>
      </w:pPr>
      <w:r>
        <w:rPr>
          <w:rFonts w:ascii="Calibri" w:hAnsi="Calibri"/>
          <w:b w:val="0"/>
          <w:sz w:val="20"/>
        </w:rPr>
        <w:t>respond to ordinary technical support requests without settling legal claims or promising refunds outside policy;</w:t>
      </w:r>
    </w:p>
    <w:p>
      <w:pPr>
        <w:widowControl/>
        <w:numPr>
          <w:ilvl w:val="0"/>
          <w:numId w:val="37"/>
        </w:numPr>
      </w:pPr>
      <w:r>
        <w:rPr>
          <w:rFonts w:ascii="Calibri" w:hAnsi="Calibri"/>
          <w:b w:val="0"/>
          <w:sz w:val="20"/>
        </w:rPr>
        <w:t>prepare product, pricing, documentation, and marketing proposals for manager approval where the proposal changes legal or commercial commitments;</w:t>
      </w:r>
    </w:p>
    <w:p>
      <w:pPr>
        <w:widowControl/>
        <w:numPr>
          <w:ilvl w:val="0"/>
          <w:numId w:val="37"/>
        </w:numPr>
      </w:pPr>
      <w:r>
        <w:rPr>
          <w:rFonts w:ascii="Calibri" w:hAnsi="Calibri"/>
          <w:b w:val="0"/>
          <w:sz w:val="20"/>
        </w:rPr>
        <w:t xml:space="preserve">make routine purchases up to the lesser of </w:t>
      </w:r>
      <w:r>
        <w:rPr>
          <w:rFonts w:ascii="Calibri" w:hAnsi="Calibri"/>
          <w:b/>
          <w:sz w:val="20"/>
        </w:rPr>
        <w:t>$[COUNSEL/FAMILY: per transaction]</w:t>
      </w:r>
      <w:r>
        <w:rPr>
          <w:rFonts w:ascii="Calibri" w:hAnsi="Calibri"/>
          <w:b w:val="0"/>
          <w:sz w:val="20"/>
        </w:rPr>
        <w:t xml:space="preserve"> and </w:t>
      </w:r>
      <w:r>
        <w:rPr>
          <w:rFonts w:ascii="Calibri" w:hAnsi="Calibri"/>
          <w:b/>
          <w:sz w:val="20"/>
        </w:rPr>
        <w:t>$[COUNSEL/FAMILY: per month]</w:t>
      </w:r>
      <w:r>
        <w:rPr>
          <w:rFonts w:ascii="Calibri" w:hAnsi="Calibri"/>
          <w:b w:val="0"/>
          <w:sz w:val="20"/>
        </w:rPr>
        <w:t xml:space="preserve"> within an approved budget;</w:t>
      </w:r>
    </w:p>
    <w:p>
      <w:pPr>
        <w:widowControl/>
        <w:numPr>
          <w:ilvl w:val="0"/>
          <w:numId w:val="37"/>
        </w:numPr>
      </w:pPr>
      <w:r>
        <w:rPr>
          <w:rFonts w:ascii="Calibri" w:hAnsi="Calibri"/>
          <w:b w:val="0"/>
          <w:sz w:val="20"/>
        </w:rPr>
        <w:t>engage in ordinary vendor communications, obtain quotes, and negotiate nonbinding terms;</w:t>
      </w:r>
    </w:p>
    <w:p>
      <w:pPr>
        <w:widowControl/>
        <w:numPr>
          <w:ilvl w:val="0"/>
          <w:numId w:val="37"/>
        </w:numPr>
      </w:pPr>
      <w:r>
        <w:rPr>
          <w:rFonts w:ascii="Calibri" w:hAnsi="Calibri"/>
          <w:b w:val="0"/>
          <w:sz w:val="20"/>
        </w:rPr>
        <w:t>submit code for internal review and release after required release gates; and</w:t>
      </w:r>
    </w:p>
    <w:p>
      <w:pPr>
        <w:widowControl/>
        <w:numPr>
          <w:ilvl w:val="0"/>
          <w:numId w:val="37"/>
        </w:numPr>
      </w:pPr>
      <w:r>
        <w:rPr>
          <w:rFonts w:ascii="Calibri" w:hAnsi="Calibri"/>
          <w:b w:val="0"/>
          <w:sz w:val="20"/>
        </w:rPr>
        <w:t>take security-preservation action under the incident plan, including credential revocation, service isolation, or rollback, with prompt manager notice.</w:t>
      </w:r>
    </w:p>
    <w:p>
      <w:pPr>
        <w:pStyle w:val="Heading2"/>
        <w:pageBreakBefore w:val="0"/>
      </w:pPr>
      <w:r>
        <w:rPr>
          <w:rFonts w:ascii="Calibri" w:hAnsi="Calibri"/>
          <w:b/>
        </w:rPr>
        <w:t>7. Actions requiring manager approval or signature</w:t>
      </w:r>
    </w:p>
    <w:p>
      <w:pPr>
        <w:keepLines w:val="0"/>
        <w:widowControl/>
      </w:pPr>
      <w:r>
        <w:rPr>
          <w:rFonts w:ascii="Calibri" w:hAnsi="Calibri"/>
          <w:b w:val="0"/>
          <w:sz w:val="21"/>
        </w:rPr>
        <w:t>Liam may prepare, recommend, and operationally implement after approval, but may not finally approve or sign:</w:t>
      </w:r>
    </w:p>
    <w:p>
      <w:pPr>
        <w:widowControl/>
        <w:numPr>
          <w:ilvl w:val="0"/>
          <w:numId w:val="38"/>
        </w:numPr>
      </w:pPr>
      <w:r>
        <w:rPr>
          <w:rFonts w:ascii="Calibri" w:hAnsi="Calibri"/>
          <w:b w:val="0"/>
          <w:sz w:val="20"/>
        </w:rPr>
        <w:t>a contract above $[COUNSEL/FAMILY] or longer than [COUNSEL/FAMILY] months;</w:t>
      </w:r>
    </w:p>
    <w:p>
      <w:pPr>
        <w:widowControl/>
        <w:numPr>
          <w:ilvl w:val="0"/>
          <w:numId w:val="38"/>
        </w:numPr>
      </w:pPr>
      <w:r>
        <w:rPr>
          <w:rFonts w:ascii="Calibri" w:hAnsi="Calibri"/>
          <w:b w:val="0"/>
          <w:sz w:val="20"/>
        </w:rPr>
        <w:t>a customer EULA amendment, enterprise term, settlement, waiver, indemnity, warranty, or refund outside written policy;</w:t>
      </w:r>
    </w:p>
    <w:p>
      <w:pPr>
        <w:widowControl/>
        <w:numPr>
          <w:ilvl w:val="0"/>
          <w:numId w:val="38"/>
        </w:numPr>
      </w:pPr>
      <w:r>
        <w:rPr>
          <w:rFonts w:ascii="Calibri" w:hAnsi="Calibri"/>
          <w:b w:val="0"/>
          <w:sz w:val="20"/>
        </w:rPr>
        <w:t>hiring, firing, contractor engagement, compensation change, or equity promise;</w:t>
      </w:r>
    </w:p>
    <w:p>
      <w:pPr>
        <w:widowControl/>
        <w:numPr>
          <w:ilvl w:val="0"/>
          <w:numId w:val="38"/>
        </w:numPr>
      </w:pPr>
      <w:r>
        <w:rPr>
          <w:rFonts w:ascii="Calibri" w:hAnsi="Calibri"/>
          <w:b w:val="0"/>
          <w:sz w:val="20"/>
        </w:rPr>
        <w:t>debt, guarantee, credit facility, security interest, or bank transfer above $[COUNSEL/FAMILY];</w:t>
      </w:r>
    </w:p>
    <w:p>
      <w:pPr>
        <w:widowControl/>
        <w:numPr>
          <w:ilvl w:val="0"/>
          <w:numId w:val="38"/>
        </w:numPr>
      </w:pPr>
      <w:r>
        <w:rPr>
          <w:rFonts w:ascii="Calibri" w:hAnsi="Calibri"/>
          <w:b w:val="0"/>
          <w:sz w:val="20"/>
        </w:rPr>
        <w:t>a tax election, tax return, payroll filing, government submission, or regulated certification;</w:t>
      </w:r>
    </w:p>
    <w:p>
      <w:pPr>
        <w:widowControl/>
        <w:numPr>
          <w:ilvl w:val="0"/>
          <w:numId w:val="38"/>
        </w:numPr>
      </w:pPr>
      <w:r>
        <w:rPr>
          <w:rFonts w:ascii="Calibri" w:hAnsi="Calibri"/>
          <w:b w:val="0"/>
          <w:sz w:val="20"/>
        </w:rPr>
        <w:t>an assignment, exclusive license, sale, pledge, or abandonment of core Company IP;</w:t>
      </w:r>
    </w:p>
    <w:p>
      <w:pPr>
        <w:widowControl/>
        <w:numPr>
          <w:ilvl w:val="0"/>
          <w:numId w:val="38"/>
        </w:numPr>
      </w:pPr>
      <w:r>
        <w:rPr>
          <w:rFonts w:ascii="Calibri" w:hAnsi="Calibri"/>
          <w:b w:val="0"/>
          <w:sz w:val="20"/>
        </w:rPr>
        <w:t>a change to the Apache/commercial package boundary, copyright holder, trademark policy, or public contribution terms;</w:t>
      </w:r>
    </w:p>
    <w:p>
      <w:pPr>
        <w:widowControl/>
        <w:numPr>
          <w:ilvl w:val="0"/>
          <w:numId w:val="38"/>
        </w:numPr>
      </w:pPr>
      <w:r>
        <w:rPr>
          <w:rFonts w:ascii="Calibri" w:hAnsi="Calibri"/>
          <w:b w:val="0"/>
          <w:sz w:val="20"/>
        </w:rPr>
        <w:t>a public source release until the historical IP and stale-notice correction gate is closed in writing;</w:t>
      </w:r>
    </w:p>
    <w:p>
      <w:pPr>
        <w:widowControl/>
        <w:numPr>
          <w:ilvl w:val="0"/>
          <w:numId w:val="38"/>
        </w:numPr>
      </w:pPr>
      <w:r>
        <w:rPr>
          <w:rFonts w:ascii="Calibri" w:hAnsi="Calibri"/>
          <w:b w:val="0"/>
          <w:sz w:val="20"/>
        </w:rPr>
        <w:t>creation, deletion, or transfer of a platform owner, super-administrator, bank signer, domain registrant, or payment-controller role;</w:t>
      </w:r>
    </w:p>
    <w:p>
      <w:pPr>
        <w:widowControl/>
        <w:numPr>
          <w:ilvl w:val="0"/>
          <w:numId w:val="38"/>
        </w:numPr>
      </w:pPr>
      <w:r>
        <w:rPr>
          <w:rFonts w:ascii="Calibri" w:hAnsi="Calibri"/>
          <w:b w:val="0"/>
          <w:sz w:val="20"/>
        </w:rPr>
        <w:t>a material change to Paddle, Mercury, ownership, controller, beneficial-owner, or KYC information;</w:t>
      </w:r>
    </w:p>
    <w:p>
      <w:pPr>
        <w:widowControl/>
        <w:numPr>
          <w:ilvl w:val="0"/>
          <w:numId w:val="38"/>
        </w:numPr>
      </w:pPr>
      <w:r>
        <w:rPr>
          <w:rFonts w:ascii="Calibri" w:hAnsi="Calibri"/>
          <w:b w:val="0"/>
          <w:sz w:val="20"/>
        </w:rPr>
        <w:t>a merger, asset sale, Company sale, dissolution, new member, equity issuance, or financing; or</w:t>
      </w:r>
    </w:p>
    <w:p>
      <w:pPr>
        <w:widowControl/>
        <w:numPr>
          <w:ilvl w:val="0"/>
          <w:numId w:val="38"/>
        </w:numPr>
      </w:pPr>
      <w:r>
        <w:rPr>
          <w:rFonts w:ascii="Calibri" w:hAnsi="Calibri"/>
          <w:b w:val="0"/>
          <w:sz w:val="20"/>
        </w:rPr>
        <w:t>any act a platform or law requires an adult, member, manager, officer, or authorized signer to perform.</w:t>
      </w:r>
    </w:p>
    <w:p>
      <w:pPr>
        <w:pStyle w:val="Heading2"/>
        <w:pageBreakBefore w:val="0"/>
      </w:pPr>
      <w:r>
        <w:rPr>
          <w:rFonts w:ascii="Calibri" w:hAnsi="Calibri"/>
          <w:b/>
        </w:rPr>
        <w:t>8. Prohibited actions</w:t>
      </w:r>
    </w:p>
    <w:p>
      <w:pPr>
        <w:keepLines w:val="0"/>
        <w:widowControl/>
      </w:pPr>
      <w:r>
        <w:rPr>
          <w:rFonts w:ascii="Calibri" w:hAnsi="Calibri"/>
          <w:b w:val="0"/>
          <w:sz w:val="21"/>
        </w:rPr>
        <w:t>Liam shall not:</w:t>
      </w:r>
    </w:p>
    <w:p>
      <w:pPr>
        <w:widowControl/>
        <w:numPr>
          <w:ilvl w:val="0"/>
          <w:numId w:val="39"/>
        </w:numPr>
      </w:pPr>
      <w:r>
        <w:rPr>
          <w:rFonts w:ascii="Calibri" w:hAnsi="Calibri"/>
          <w:b w:val="0"/>
          <w:sz w:val="20"/>
        </w:rPr>
        <w:t>use Lakshmi's or another person's login, identity document, signature, payment card, bank credential, or KYC account;</w:t>
      </w:r>
    </w:p>
    <w:p>
      <w:pPr>
        <w:widowControl/>
        <w:numPr>
          <w:ilvl w:val="0"/>
          <w:numId w:val="39"/>
        </w:numPr>
      </w:pPr>
      <w:r>
        <w:rPr>
          <w:rFonts w:ascii="Calibri" w:hAnsi="Calibri"/>
          <w:b w:val="0"/>
          <w:sz w:val="20"/>
        </w:rPr>
        <w:t>represent that he is the direct LLC member, manager, adult signer, or account administrator before that is true; this does not authorize omission of his Trust beneficial interest where a platform's live definition requires disclosure;</w:t>
      </w:r>
    </w:p>
    <w:p>
      <w:pPr>
        <w:widowControl/>
        <w:numPr>
          <w:ilvl w:val="0"/>
          <w:numId w:val="39"/>
        </w:numPr>
      </w:pPr>
      <w:r>
        <w:rPr>
          <w:rFonts w:ascii="Calibri" w:hAnsi="Calibri"/>
          <w:b w:val="0"/>
          <w:sz w:val="20"/>
        </w:rPr>
        <w:t>open a financial account or accept a platform's regulated terms in another person's name;</w:t>
      </w:r>
    </w:p>
    <w:p>
      <w:pPr>
        <w:widowControl/>
        <w:numPr>
          <w:ilvl w:val="0"/>
          <w:numId w:val="39"/>
        </w:numPr>
      </w:pPr>
      <w:r>
        <w:rPr>
          <w:rFonts w:ascii="Calibri" w:hAnsi="Calibri"/>
          <w:b w:val="0"/>
          <w:sz w:val="20"/>
        </w:rPr>
        <w:t>bypass a dual-control, release, security, or legal-review gate;</w:t>
      </w:r>
    </w:p>
    <w:p>
      <w:pPr>
        <w:widowControl/>
        <w:numPr>
          <w:ilvl w:val="0"/>
          <w:numId w:val="39"/>
        </w:numPr>
      </w:pPr>
      <w:r>
        <w:rPr>
          <w:rFonts w:ascii="Calibri" w:hAnsi="Calibri"/>
          <w:b w:val="0"/>
          <w:sz w:val="20"/>
        </w:rPr>
        <w:t>make a personal purchase from Company funds;</w:t>
      </w:r>
    </w:p>
    <w:p>
      <w:pPr>
        <w:widowControl/>
        <w:numPr>
          <w:ilvl w:val="0"/>
          <w:numId w:val="39"/>
        </w:numPr>
      </w:pPr>
      <w:r>
        <w:rPr>
          <w:rFonts w:ascii="Calibri" w:hAnsi="Calibri"/>
          <w:b w:val="0"/>
          <w:sz w:val="20"/>
        </w:rPr>
        <w:t>publicly release source that lacks cleared title, dependency review, notices, or correct copyright identification;</w:t>
      </w:r>
    </w:p>
    <w:p>
      <w:pPr>
        <w:widowControl/>
        <w:numPr>
          <w:ilvl w:val="0"/>
          <w:numId w:val="39"/>
        </w:numPr>
      </w:pPr>
      <w:r>
        <w:rPr>
          <w:rFonts w:ascii="Calibri" w:hAnsi="Calibri"/>
          <w:b w:val="0"/>
          <w:sz w:val="20"/>
        </w:rPr>
        <w:t>drive on public roads, operate prohibited machinery, or perform another hazardous youth occupation for the Company; or</w:t>
      </w:r>
    </w:p>
    <w:p>
      <w:pPr>
        <w:widowControl/>
        <w:numPr>
          <w:ilvl w:val="0"/>
          <w:numId w:val="39"/>
        </w:numPr>
      </w:pPr>
      <w:r>
        <w:rPr>
          <w:rFonts w:ascii="Calibri" w:hAnsi="Calibri"/>
          <w:b w:val="0"/>
          <w:sz w:val="20"/>
        </w:rPr>
        <w:t>engage a friend, volunteer, or informal contributor to create Company material without a counsel-approved contributor or services agreement.</w:t>
      </w:r>
    </w:p>
    <w:p>
      <w:pPr>
        <w:pStyle w:val="Heading2"/>
        <w:pageBreakBefore w:val="0"/>
      </w:pPr>
      <w:r>
        <w:rPr>
          <w:rFonts w:ascii="Calibri" w:hAnsi="Calibri"/>
          <w:b/>
        </w:rPr>
        <w:t>9. Emergency security authority</w:t>
      </w:r>
    </w:p>
    <w:p>
      <w:pPr>
        <w:keepLines w:val="0"/>
        <w:widowControl/>
      </w:pPr>
      <w:r>
        <w:rPr>
          <w:rFonts w:ascii="Calibri" w:hAnsi="Calibri"/>
          <w:b w:val="0"/>
          <w:sz w:val="21"/>
        </w:rPr>
        <w:t>If delay creates a reasonable risk of data loss, credential compromise, service abuse, or customer harm, Liam may suspend access, rotate a credential he is authorized to administer, roll back a deployment, disable checkout, or isolate a service. He shall notify the manager promptly, preserve logs, avoid deleting evidence, and obtain ratification for any continuing action.</w:t>
      </w:r>
    </w:p>
    <w:p>
      <w:pPr>
        <w:pStyle w:val="Heading2"/>
        <w:pageBreakBefore w:val="0"/>
      </w:pPr>
      <w:r>
        <w:rPr>
          <w:rFonts w:ascii="Calibri" w:hAnsi="Calibri"/>
          <w:b/>
        </w:rPr>
        <w:t>10. Revocation and reliance</w:t>
      </w:r>
    </w:p>
    <w:p>
      <w:pPr>
        <w:keepLines w:val="0"/>
        <w:widowControl/>
      </w:pPr>
      <w:r>
        <w:rPr>
          <w:rFonts w:ascii="Calibri" w:hAnsi="Calibri"/>
          <w:b w:val="0"/>
          <w:sz w:val="21"/>
        </w:rPr>
        <w:t>The manager may amend or revoke operational authority prospectively in writing, subject to the Trust's fixed economics and employment law. A revocation does not change Liam's beneficial interest. Third parties may rely only on the latest dated Company certificate delivered to them.</w:t>
      </w:r>
    </w:p>
    <w:p>
      <w:pPr>
        <w:pStyle w:val="Heading1"/>
        <w:pageBreakBefore w:val="0"/>
      </w:pPr>
      <w:r>
        <w:rPr>
          <w:rFonts w:ascii="Calibri" w:hAnsi="Calibri"/>
          <w:b/>
        </w:rPr>
        <w:t>Part C - Authority matrix</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906"/>
        <w:gridCol w:w="762"/>
        <w:gridCol w:w="1906"/>
        <w:gridCol w:w="1906"/>
        <w:gridCol w:w="1398"/>
        <w:gridCol w:w="1482"/>
      </w:tblGrid>
      <w:tr>
        <w:trPr>
          <w:cantSplit w:val="true"/>
          <w:tblHeader w:val="true"/>
        </w:trPr>
        <w:tc>
          <w:tcPr>
            <w:tcW w:type="dxa" w:w="1906"/>
            <w:vAlign w:val="center"/>
            <w:shd w:fill="1F4D78"/>
            <w:tcMar>
              <w:top w:w="80" w:type="dxa"/>
              <w:bottom w:w="80" w:type="dxa"/>
              <w:start w:w="120" w:type="dxa"/>
              <w:end w:w="120" w:type="dxa"/>
            </w:tcMar>
          </w:tcPr>
          <w:p>
            <w:pPr>
              <w:pStyle w:val="TableText"/>
              <w:jc w:val="left"/>
            </w:pPr>
            <w:r>
              <w:rPr>
                <w:rFonts w:ascii="Calibri" w:hAnsi="Calibri"/>
                <w:b/>
                <w:color w:val="FFFFFF"/>
                <w:sz w:val="17"/>
              </w:rPr>
              <w:t>Action</w:t>
            </w:r>
          </w:p>
        </w:tc>
        <w:tc>
          <w:tcPr>
            <w:tcW w:type="dxa" w:w="762"/>
            <w:vAlign w:val="center"/>
            <w:shd w:fill="1F4D78"/>
            <w:tcMar>
              <w:top w:w="80" w:type="dxa"/>
              <w:bottom w:w="80" w:type="dxa"/>
              <w:start w:w="120" w:type="dxa"/>
              <w:end w:w="120" w:type="dxa"/>
            </w:tcMar>
          </w:tcPr>
          <w:p>
            <w:pPr>
              <w:pStyle w:val="TableText"/>
              <w:jc w:val="left"/>
            </w:pPr>
            <w:r>
              <w:rPr>
                <w:rFonts w:ascii="Calibri" w:hAnsi="Calibri"/>
                <w:b/>
                <w:color w:val="FFFFFF"/>
                <w:sz w:val="17"/>
              </w:rPr>
              <w:t>Liam may initiate</w:t>
            </w:r>
          </w:p>
        </w:tc>
        <w:tc>
          <w:tcPr>
            <w:tcW w:type="dxa" w:w="1906"/>
            <w:vAlign w:val="center"/>
            <w:shd w:fill="1F4D78"/>
            <w:tcMar>
              <w:top w:w="80" w:type="dxa"/>
              <w:bottom w:w="80" w:type="dxa"/>
              <w:start w:w="120" w:type="dxa"/>
              <w:end w:w="120" w:type="dxa"/>
            </w:tcMar>
          </w:tcPr>
          <w:p>
            <w:pPr>
              <w:pStyle w:val="TableText"/>
              <w:jc w:val="left"/>
            </w:pPr>
            <w:r>
              <w:rPr>
                <w:rFonts w:ascii="Calibri" w:hAnsi="Calibri"/>
                <w:b/>
                <w:color w:val="FFFFFF"/>
                <w:sz w:val="17"/>
              </w:rPr>
              <w:t>Liam may execute</w:t>
            </w:r>
          </w:p>
        </w:tc>
        <w:tc>
          <w:tcPr>
            <w:tcW w:type="dxa" w:w="1906"/>
            <w:vAlign w:val="center"/>
            <w:shd w:fill="1F4D78"/>
            <w:tcMar>
              <w:top w:w="80" w:type="dxa"/>
              <w:bottom w:w="80" w:type="dxa"/>
              <w:start w:w="120" w:type="dxa"/>
              <w:end w:w="120" w:type="dxa"/>
            </w:tcMar>
          </w:tcPr>
          <w:p>
            <w:pPr>
              <w:pStyle w:val="TableText"/>
              <w:jc w:val="left"/>
            </w:pPr>
            <w:r>
              <w:rPr>
                <w:rFonts w:ascii="Calibri" w:hAnsi="Calibri"/>
                <w:b/>
                <w:color w:val="FFFFFF"/>
                <w:sz w:val="17"/>
              </w:rPr>
              <w:t>Manager approval/signature</w:t>
            </w:r>
          </w:p>
        </w:tc>
        <w:tc>
          <w:tcPr>
            <w:tcW w:type="dxa" w:w="1398"/>
            <w:vAlign w:val="center"/>
            <w:shd w:fill="1F4D78"/>
            <w:tcMar>
              <w:top w:w="80" w:type="dxa"/>
              <w:bottom w:w="80" w:type="dxa"/>
              <w:start w:w="120" w:type="dxa"/>
              <w:end w:w="120" w:type="dxa"/>
            </w:tcMar>
          </w:tcPr>
          <w:p>
            <w:pPr>
              <w:pStyle w:val="TableText"/>
              <w:jc w:val="left"/>
            </w:pPr>
            <w:r>
              <w:rPr>
                <w:rFonts w:ascii="Calibri" w:hAnsi="Calibri"/>
                <w:b/>
                <w:color w:val="FFFFFF"/>
                <w:sz w:val="17"/>
              </w:rPr>
              <w:t>Member/trustee approval</w:t>
            </w:r>
          </w:p>
        </w:tc>
        <w:tc>
          <w:tcPr>
            <w:tcW w:type="dxa" w:w="1482"/>
            <w:vAlign w:val="center"/>
            <w:shd w:fill="1F4D78"/>
            <w:tcMar>
              <w:top w:w="80" w:type="dxa"/>
              <w:bottom w:w="80" w:type="dxa"/>
              <w:start w:w="120" w:type="dxa"/>
              <w:end w:w="120" w:type="dxa"/>
            </w:tcMar>
          </w:tcPr>
          <w:p>
            <w:pPr>
              <w:pStyle w:val="TableText"/>
              <w:jc w:val="left"/>
            </w:pPr>
            <w:r>
              <w:rPr>
                <w:rFonts w:ascii="Calibri" w:hAnsi="Calibri"/>
                <w:b/>
                <w:color w:val="FFFFFF"/>
                <w:sz w:val="17"/>
              </w:rPr>
              <w:t>Required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Product architecture, code, tests, documentation</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 within approved policy</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Repository/issue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Routine deploy or rollback</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Per release policy</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CI/deploy log</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Routine vendor purchase within budget</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 within threshold</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Above threshold</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Receipt/business purpose</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Substantive vendor contract</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 unless counsel approves a narrow routine-agency category in writing</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 unless reserved</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Contract register</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Employment or contractor engagement</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[COUNSEL: if reserved]</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Written agreement/onboarding</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Wage or compensation change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Payroll approval</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Approved card or payment activity</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 only through an approved employee/card role within limits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Above limit</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Receipt and card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Bank opening, wire, credit, borrowing, or guarantee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Provide facts only</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Adult manager signature required</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Member approval as required</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Bank authority and financing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Refund within written policy</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Up to $[limit]</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Outside policy/above limit</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Support and payment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Customer terms/EULA/privacy</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 after counsel review</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Material changes [COUNSEL]</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Versioned legal archive</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Apache package release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 until release gate; later under policy</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Material boundary change</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Release checklist and snapshot</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Commercial package release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Under approved release process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 for first release/material license change</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No unless asset disposition</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Release/entitlement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IP assignment or exclusive license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Yes if core/material</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IP register</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New member/equity/option</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Yes, subject to Trust prohibition</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Amended ledger/instruments</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Company or asset sale</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Technical support only</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Yes as required</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Sale file and Trust proceeds record</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Tax election/return</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Provide facts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Material election [COUNSEL]</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CPA memo/filing copy</w:t>
            </w:r>
          </w:p>
        </w:tc>
      </w:tr>
      <w:tr>
        <w:trPr>
          <w:cantSplit w:val="true"/>
        </w:trPr>
        <w:tc>
          <w:tcPr>
            <w:tcW w:type="dxa" w:w="1906"/>
            <w:vAlign w:val="top"/>
            <w:tcMar>
              <w:top w:w="80" w:type="dxa"/>
              <w:bottom w:w="80" w:type="dxa"/>
              <w:start w:w="120" w:type="dxa"/>
              <w:end w:w="120" w:type="dxa"/>
            </w:tcMar>
          </w:tcPr>
          <w:p>
            <w:pPr>
              <w:pStyle w:val="TableText"/>
              <w:jc w:val="left"/>
            </w:pPr>
            <w:r>
              <w:rPr>
                <w:rFonts w:ascii="Calibri" w:hAnsi="Calibri"/>
                <w:b w:val="0"/>
                <w:sz w:val="18"/>
              </w:rPr>
              <w:t>Litigation/settlement</w:t>
            </w:r>
          </w:p>
        </w:tc>
        <w:tc>
          <w:tcPr>
            <w:tcW w:type="dxa" w:w="762"/>
            <w:vAlign w:val="top"/>
            <w:tcMar>
              <w:top w:w="80" w:type="dxa"/>
              <w:bottom w:w="80" w:type="dxa"/>
              <w:start w:w="120" w:type="dxa"/>
              <w:end w:w="120" w:type="dxa"/>
            </w:tcMar>
          </w:tcPr>
          <w:p>
            <w:pPr>
              <w:pStyle w:val="TableText"/>
              <w:jc w:val="left"/>
            </w:pPr>
            <w:r>
              <w:rPr>
                <w:rFonts w:ascii="Calibri" w:hAnsi="Calibri"/>
                <w:b w:val="0"/>
                <w:sz w:val="18"/>
              </w:rPr>
              <w:t>Provide facts</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906"/>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398"/>
            <w:vAlign w:val="top"/>
            <w:tcMar>
              <w:top w:w="80" w:type="dxa"/>
              <w:bottom w:w="80" w:type="dxa"/>
              <w:start w:w="120" w:type="dxa"/>
              <w:end w:w="120" w:type="dxa"/>
            </w:tcMar>
          </w:tcPr>
          <w:p>
            <w:pPr>
              <w:pStyle w:val="TableText"/>
              <w:jc w:val="left"/>
            </w:pPr>
            <w:r>
              <w:rPr>
                <w:rFonts w:ascii="Calibri" w:hAnsi="Calibri"/>
                <w:b w:val="0"/>
                <w:sz w:val="18"/>
              </w:rPr>
              <w:t>Above $[limit] [COUNSEL]</w:t>
            </w:r>
          </w:p>
        </w:tc>
        <w:tc>
          <w:tcPr>
            <w:tcW w:type="dxa" w:w="1482"/>
            <w:vAlign w:val="top"/>
            <w:tcMar>
              <w:top w:w="80" w:type="dxa"/>
              <w:bottom w:w="80" w:type="dxa"/>
              <w:start w:w="120" w:type="dxa"/>
              <w:end w:w="120" w:type="dxa"/>
            </w:tcMar>
          </w:tcPr>
          <w:p>
            <w:pPr>
              <w:pStyle w:val="TableText"/>
              <w:jc w:val="left"/>
            </w:pPr>
            <w:r>
              <w:rPr>
                <w:rFonts w:ascii="Calibri" w:hAnsi="Calibri"/>
                <w:b w:val="0"/>
                <w:sz w:val="18"/>
              </w:rPr>
              <w:t>Privileged legal file</w:t>
            </w:r>
          </w:p>
        </w:tc>
      </w:tr>
    </w:tbl>
    <w:p>
      <w:pPr>
        <w:spacing w:after="40"/>
      </w:pPr>
    </w:p>
    <w:p>
      <w:pPr>
        <w:pStyle w:val="Heading1"/>
        <w:pageBreakBefore w:val="0"/>
      </w:pPr>
      <w:r>
        <w:rPr>
          <w:rFonts w:ascii="Calibri" w:hAnsi="Calibri"/>
          <w:b/>
        </w:rPr>
        <w:t>Part D - Platform and account schedule</w:t>
      </w:r>
    </w:p>
    <w:p>
      <w:pPr>
        <w:keepLines w:val="0"/>
        <w:widowControl/>
      </w:pPr>
      <w:r>
        <w:rPr>
          <w:rFonts w:ascii="Calibri" w:hAnsi="Calibri"/>
          <w:b w:val="0"/>
          <w:sz w:val="21"/>
        </w:rPr>
        <w:t>The actual platform permission is the narrower of this schedule and the platform's rules. Each row requires screenshots or exports showing current roles, not just a narrative description.</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450"/>
        <w:gridCol w:w="1400"/>
        <w:gridCol w:w="1400"/>
        <w:gridCol w:w="1400"/>
        <w:gridCol w:w="1400"/>
        <w:gridCol w:w="1400"/>
        <w:gridCol w:w="910"/>
      </w:tblGrid>
      <w:tr>
        <w:trPr>
          <w:cantSplit w:val="true"/>
          <w:tblHeader w:val="true"/>
        </w:trPr>
        <w:tc>
          <w:tcPr>
            <w:tcW w:type="dxa" w:w="1450"/>
            <w:vAlign w:val="center"/>
            <w:shd w:fill="1F4D78"/>
            <w:tcMar>
              <w:top w:w="80" w:type="dxa"/>
              <w:bottom w:w="80" w:type="dxa"/>
              <w:start w:w="120" w:type="dxa"/>
              <w:end w:w="120" w:type="dxa"/>
            </w:tcMar>
          </w:tcPr>
          <w:p>
            <w:pPr>
              <w:pStyle w:val="TableText"/>
              <w:jc w:val="left"/>
            </w:pPr>
            <w:r>
              <w:rPr>
                <w:rFonts w:ascii="Calibri" w:hAnsi="Calibri"/>
                <w:b/>
                <w:color w:val="FFFFFF"/>
                <w:sz w:val="17"/>
              </w:rPr>
              <w:t>Platform or asset</w:t>
            </w:r>
          </w:p>
        </w:tc>
        <w:tc>
          <w:tcPr>
            <w:tcW w:type="dxa" w:w="1400"/>
            <w:vAlign w:val="center"/>
            <w:shd w:fill="1F4D78"/>
            <w:tcMar>
              <w:top w:w="80" w:type="dxa"/>
              <w:bottom w:w="80" w:type="dxa"/>
              <w:start w:w="120" w:type="dxa"/>
              <w:end w:w="120" w:type="dxa"/>
            </w:tcMar>
          </w:tcPr>
          <w:p>
            <w:pPr>
              <w:pStyle w:val="TableText"/>
              <w:jc w:val="left"/>
            </w:pPr>
            <w:r>
              <w:rPr>
                <w:rFonts w:ascii="Calibri" w:hAnsi="Calibri"/>
                <w:b/>
                <w:color w:val="FFFFFF"/>
                <w:sz w:val="17"/>
              </w:rPr>
              <w:t>Legal/account holder before Handoff</w:t>
            </w:r>
          </w:p>
        </w:tc>
        <w:tc>
          <w:tcPr>
            <w:tcW w:type="dxa" w:w="1400"/>
            <w:vAlign w:val="center"/>
            <w:shd w:fill="1F4D78"/>
            <w:tcMar>
              <w:top w:w="80" w:type="dxa"/>
              <w:bottom w:w="80" w:type="dxa"/>
              <w:start w:w="120" w:type="dxa"/>
              <w:end w:w="120" w:type="dxa"/>
            </w:tcMar>
          </w:tcPr>
          <w:p>
            <w:pPr>
              <w:pStyle w:val="TableText"/>
              <w:jc w:val="left"/>
            </w:pPr>
            <w:r>
              <w:rPr>
                <w:rFonts w:ascii="Calibri" w:hAnsi="Calibri"/>
                <w:b/>
                <w:color w:val="FFFFFF"/>
                <w:sz w:val="17"/>
              </w:rPr>
              <w:t>Adult authorized representative/admin</w:t>
            </w:r>
          </w:p>
        </w:tc>
        <w:tc>
          <w:tcPr>
            <w:tcW w:type="dxa" w:w="1400"/>
            <w:vAlign w:val="center"/>
            <w:shd w:fill="1F4D78"/>
            <w:tcMar>
              <w:top w:w="80" w:type="dxa"/>
              <w:bottom w:w="80" w:type="dxa"/>
              <w:start w:w="120" w:type="dxa"/>
              <w:end w:w="120" w:type="dxa"/>
            </w:tcMar>
          </w:tcPr>
          <w:p>
            <w:pPr>
              <w:pStyle w:val="TableText"/>
              <w:jc w:val="left"/>
            </w:pPr>
            <w:r>
              <w:rPr>
                <w:rFonts w:ascii="Calibri" w:hAnsi="Calibri"/>
                <w:b/>
                <w:color w:val="FFFFFF"/>
                <w:sz w:val="17"/>
              </w:rPr>
              <w:t>Liam's permitted role before Handoff</w:t>
            </w:r>
          </w:p>
        </w:tc>
        <w:tc>
          <w:tcPr>
            <w:tcW w:type="dxa" w:w="1400"/>
            <w:vAlign w:val="center"/>
            <w:shd w:fill="1F4D78"/>
            <w:tcMar>
              <w:top w:w="80" w:type="dxa"/>
              <w:bottom w:w="80" w:type="dxa"/>
              <w:start w:w="120" w:type="dxa"/>
              <w:end w:w="120" w:type="dxa"/>
            </w:tcMar>
          </w:tcPr>
          <w:p>
            <w:pPr>
              <w:pStyle w:val="TableText"/>
              <w:jc w:val="left"/>
            </w:pPr>
            <w:r>
              <w:rPr>
                <w:rFonts w:ascii="Calibri" w:hAnsi="Calibri"/>
                <w:b/>
                <w:color w:val="FFFFFF"/>
                <w:sz w:val="17"/>
              </w:rPr>
              <w:t>Prohibited before Handoff</w:t>
            </w:r>
          </w:p>
        </w:tc>
        <w:tc>
          <w:tcPr>
            <w:tcW w:type="dxa" w:w="1400"/>
            <w:vAlign w:val="center"/>
            <w:shd w:fill="1F4D78"/>
            <w:tcMar>
              <w:top w:w="80" w:type="dxa"/>
              <w:bottom w:w="80" w:type="dxa"/>
              <w:start w:w="120" w:type="dxa"/>
              <w:end w:w="120" w:type="dxa"/>
            </w:tcMar>
          </w:tcPr>
          <w:p>
            <w:pPr>
              <w:pStyle w:val="TableText"/>
              <w:jc w:val="left"/>
            </w:pPr>
            <w:r>
              <w:rPr>
                <w:rFonts w:ascii="Calibri" w:hAnsi="Calibri"/>
                <w:b/>
                <w:color w:val="FFFFFF"/>
                <w:sz w:val="17"/>
              </w:rPr>
              <w:t>Handoff action</w:t>
            </w:r>
          </w:p>
        </w:tc>
        <w:tc>
          <w:tcPr>
            <w:tcW w:type="dxa" w:w="910"/>
            <w:vAlign w:val="center"/>
            <w:shd w:fill="1F4D78"/>
            <w:tcMar>
              <w:top w:w="80" w:type="dxa"/>
              <w:bottom w:w="80" w:type="dxa"/>
              <w:start w:w="120" w:type="dxa"/>
              <w:end w:w="120" w:type="dxa"/>
            </w:tcMar>
          </w:tcPr>
          <w:p>
            <w:pPr>
              <w:pStyle w:val="TableText"/>
              <w:jc w:val="left"/>
            </w:pPr>
            <w:r>
              <w:rPr>
                <w:rFonts w:ascii="Calibri" w:hAnsi="Calibri"/>
                <w:b/>
                <w:color w:val="FFFFFF"/>
                <w:sz w:val="17"/>
              </w:rPr>
              <w:t>Evidence owner</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Mercury - no application/account submitted as of July 11, 2026</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Proposed holder: Company; record member would be the then-serving trustee in fiduciary capacity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Proposed adult applicant/admin: Lakshmi while manager; disclose Liam's Trust interest if the live definition requires it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Approved employee/custom role only if a later account permits it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Applicant, sole administrator, false owner/controller status, shared login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If later opened, update member/controller/admin at Handoff; otherwise no action</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[COUNSEL/CPA]</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Paddle - no application/account submitted as of July 11, 2026</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Proposed supplier: Company; record member would be the then-serving trustee in fiduciary capacity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Proposed adult representative: Lakshmi while manager; disclose Liam's Trust interest if the live definition requires it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Developer/support user only if a later account permits it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Supplier owner, KYC representative, accepting adult-only terms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If later opened, update ownership/control and representative at Handoff; otherwise no action</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 xml:space="preserve">GitHub user </w:t>
            </w:r>
            <w:r>
              <w:rPr>
                <w:rFonts w:ascii="Consolas" w:hAnsi="Consolas"/>
                <w:color w:val="1F4D78"/>
                <w:sz w:val="17"/>
              </w:rPr>
              <w:t>GridWork-dev</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 legal subscriber to confirm]</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Liam-controlled user if accurate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Shared credentials or false Company ownership claim</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Separate personal identity from Company org ownership</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 xml:space="preserve">GitHub org </w:t>
            </w:r>
            <w:r>
              <w:rPr>
                <w:rFonts w:ascii="Consolas" w:hAnsi="Consolas"/>
                <w:color w:val="1F4D78"/>
                <w:sz w:val="17"/>
              </w:rPr>
              <w:t>caisson-sh</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 plus recovery admin [COUNSEL]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Technical owner/maintainer within platform age rules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Sole unrecoverable owner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Make Liam an authorized adult organization controller/admin; retain emergency recovery</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 xml:space="preserve">Private monorepo </w:t>
            </w:r>
            <w:r>
              <w:rPr>
                <w:rFonts w:ascii="Consolas" w:hAnsi="Consolas"/>
                <w:color w:val="1F4D78"/>
                <w:sz w:val="17"/>
              </w:rPr>
              <w:t>caisson-sh/caisson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GitHub org</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Same as org</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Admin/maintainer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Public flip before IP gate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Confirm Company control and Handoff owner roles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 xml:space="preserve">Private mirror </w:t>
            </w:r>
            <w:r>
              <w:rPr>
                <w:rFonts w:ascii="Consolas" w:hAnsi="Consolas"/>
                <w:color w:val="1F4D78"/>
                <w:sz w:val="17"/>
              </w:rPr>
              <w:t>caisson-sh/caisson-oss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GitHub org</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Same as org</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Maintainer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Public flip before title/notice/provenance gate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Publish only after written release approval</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 xml:space="preserve">Public npm identifiers </w:t>
            </w:r>
            <w:r>
              <w:rPr>
                <w:rFonts w:ascii="Consolas" w:hAnsi="Consolas"/>
                <w:color w:val="1F4D78"/>
                <w:sz w:val="17"/>
              </w:rPr>
              <w:t>@caisson/kernel</w:t>
            </w:r>
            <w:r>
              <w:rPr>
                <w:rFonts w:ascii="Calibri" w:hAnsi="Calibri"/>
                <w:b w:val="0"/>
                <w:sz w:val="18"/>
              </w:rPr>
              <w:t xml:space="preserve"> and </w:t>
            </w:r>
            <w:r>
              <w:rPr>
                <w:rFonts w:ascii="Consolas" w:hAnsi="Consolas"/>
                <w:color w:val="1F4D78"/>
                <w:sz w:val="17"/>
              </w:rPr>
              <w:t>@caisson-sh/cli</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 account and scope holders]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Lakshmi/recovery admin [COUNSEL]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Publisher through CI, not personal token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Manual source publish before gate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Update authorized owner/admin and rotate tokens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onsolas" w:hAnsi="Consolas"/>
                <w:color w:val="1F4D78"/>
                <w:sz w:val="17"/>
              </w:rPr>
              <w:t>caisson.sh</w:t>
            </w:r>
            <w:r>
              <w:rPr>
                <w:rFonts w:ascii="Calibri" w:hAnsi="Calibri"/>
                <w:b w:val="0"/>
                <w:sz w:val="18"/>
              </w:rPr>
              <w:t xml:space="preserve"> domain and registrar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 registrant/payer]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Lakshmi/recovery admin [COUNSEL]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DNS technical role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Registrant transfer or shared login without approval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Update registrant, admin, billing, recovery</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Cloudflare account, DNS, Access, Workers, R2</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Lakshmi/recovery admin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Scoped technical administrator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Billing/KYC owner changes; disabling legal/security gates outside authority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Change Company controller/admin; rotate credentials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Railway services and databases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Lakshmi/recovery admin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Scoped developer/deployer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Account owner/billing changes; data export outside policy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Transfer or update owner/admin; rotate credentials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onsolas" w:hAnsi="Consolas"/>
                <w:color w:val="1F4D78"/>
                <w:sz w:val="17"/>
              </w:rPr>
              <w:t>registry.caisson.sh</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Company-controlled service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Technical deploy/admin under release policy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License-boundary change or public tarball release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Update credentials and owner records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Company email and DNS records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Lakshmi/recovery admin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Named Company mailbox</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Impersonating Lakshmi or shared mailbox without audit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Transfer global admin; preserve aliases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Password manager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 provider/vault and legal subscriber]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 emergency admin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Individual Liam account with scoped vaults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Credential sharing/export without approval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Make Liam an authorized adult Company-vault controller; preserve Company ownership and emergency recovery</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Discord/community/bot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 or approved adult owner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Community and bot administrator under platform rules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False legal-owner/KYC representation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Update server owner and bot account recovery</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AI tools and coding accounts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[FACT: each provider]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Subscriber/terms accepter [FACT]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Named user under provider terms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Sharing personal account or submitting restricted third-party material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Transfer business subscriptions where supported</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Code-signing, package, encryption, and license keys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Company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Dual control</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Operational use through CI or scoped key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Export of private key; unilateral root rotation</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Make Liam an adult authorized custodian within Company dual control; Company retains the keys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[TECH]</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Company accounting, tax, and payroll systems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Company or advisor under a written engagement [FACT]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Lakshmi and properly engaged advisor</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Read-only or employee access as appropriate</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Filing, payment, or permanent classification without authority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Change authorized user and taxpayer contacts</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[CPA/COUNSEL]</w:t>
            </w:r>
          </w:p>
        </w:tc>
      </w:tr>
      <w:tr>
        <w:trPr>
          <w:cantSplit w:val="true"/>
        </w:trPr>
        <w:tc>
          <w:tcPr>
            <w:tcW w:type="dxa" w:w="1450"/>
            <w:vAlign w:val="top"/>
            <w:tcMar>
              <w:top w:w="80" w:type="dxa"/>
              <w:bottom w:w="80" w:type="dxa"/>
              <w:start w:w="120" w:type="dxa"/>
              <w:end w:w="120" w:type="dxa"/>
            </w:tcMar>
          </w:tcPr>
          <w:p>
            <w:pPr>
              <w:pStyle w:val="TableText"/>
              <w:jc w:val="left"/>
            </w:pPr>
            <w:r>
              <w:rPr>
                <w:rFonts w:ascii="Calibri" w:hAnsi="Calibri"/>
                <w:b w:val="0"/>
                <w:sz w:val="18"/>
              </w:rPr>
              <w:t>Liam's personal finance connector with mixed Amex/Current feeds</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Liam or service subscriber [FACT]</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Liam; no advisor authority presumed</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Existing personal access only</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Credential sharing, Company ownership claim, or advisor access without separate consent and privacy review</w:t>
            </w:r>
          </w:p>
        </w:tc>
        <w:tc>
          <w:tcPr>
            <w:tcW w:type="dxa" w:w="1400"/>
            <w:vAlign w:val="top"/>
            <w:tcMar>
              <w:top w:w="80" w:type="dxa"/>
              <w:bottom w:w="80" w:type="dxa"/>
              <w:start w:w="120" w:type="dxa"/>
              <w:end w:w="120" w:type="dxa"/>
            </w:tcMar>
          </w:tcPr>
          <w:p>
            <w:pPr>
              <w:pStyle w:val="TableText"/>
              <w:jc w:val="left"/>
            </w:pPr>
            <w:r>
              <w:rPr>
                <w:rFonts w:ascii="Calibri" w:hAnsi="Calibri"/>
                <w:b w:val="0"/>
                <w:sz w:val="18"/>
              </w:rPr>
              <w:t>No automatic Handoff transfer; export only under documented consent</w:t>
            </w:r>
          </w:p>
        </w:tc>
        <w:tc>
          <w:tcPr>
            <w:tcW w:type="dxa" w:w="910"/>
            <w:vAlign w:val="top"/>
            <w:tcMar>
              <w:top w:w="80" w:type="dxa"/>
              <w:bottom w:w="80" w:type="dxa"/>
              <w:start w:w="120" w:type="dxa"/>
              <w:end w:w="120" w:type="dxa"/>
            </w:tcMar>
          </w:tcPr>
          <w:p>
            <w:pPr>
              <w:pStyle w:val="TableText"/>
              <w:jc w:val="left"/>
            </w:pPr>
            <w:r>
              <w:rPr>
                <w:rFonts w:ascii="Calibri" w:hAnsi="Calibri"/>
                <w:b w:val="0"/>
                <w:sz w:val="18"/>
              </w:rPr>
              <w:t>[LIAM/CPA/COUNSEL]</w:t>
            </w:r>
          </w:p>
        </w:tc>
      </w:tr>
    </w:tbl>
    <w:p>
      <w:pPr>
        <w:spacing w:after="40"/>
      </w:pPr>
    </w:p>
    <w:p>
      <w:pPr>
        <w:pStyle w:val="Heading1"/>
        <w:pageBreakBefore w:val="0"/>
      </w:pPr>
      <w:r>
        <w:rPr>
          <w:rFonts w:ascii="Calibri" w:hAnsi="Calibri"/>
          <w:b/>
        </w:rPr>
        <w:t>Part E - Release and IP gate</w:t>
      </w:r>
    </w:p>
    <w:p>
      <w:pPr>
        <w:keepLines w:val="0"/>
        <w:widowControl/>
      </w:pPr>
      <w:r>
        <w:rPr>
          <w:rFonts w:ascii="Calibri" w:hAnsi="Calibri"/>
          <w:b w:val="0"/>
          <w:sz w:val="21"/>
        </w:rPr>
        <w:t>Before any first public OSS source or npm release, the manager shall certify in writing that:</w:t>
      </w:r>
    </w:p>
    <w:p>
      <w:pPr>
        <w:widowControl/>
        <w:numPr>
          <w:ilvl w:val="0"/>
          <w:numId w:val="40"/>
        </w:numPr>
      </w:pPr>
      <w:r>
        <w:rPr>
          <w:rFonts w:ascii="Calibri" w:hAnsi="Calibri"/>
          <w:b w:val="0"/>
          <w:sz w:val="20"/>
        </w:rPr>
        <w:t>Instrument 9 or a counsel-approved alternative has addressed historical title;</w:t>
      </w:r>
    </w:p>
    <w:p>
      <w:pPr>
        <w:widowControl/>
        <w:numPr>
          <w:ilvl w:val="0"/>
          <w:numId w:val="40"/>
        </w:numPr>
      </w:pPr>
      <w:r>
        <w:rPr>
          <w:rFonts w:ascii="Calibri" w:hAnsi="Calibri"/>
          <w:b w:val="0"/>
          <w:sz w:val="20"/>
        </w:rPr>
        <w:t>the stale GridWork Digital LLC notice has been verified and corrected prospectively without inventing a transfer;</w:t>
      </w:r>
    </w:p>
    <w:p>
      <w:pPr>
        <w:widowControl/>
        <w:numPr>
          <w:ilvl w:val="0"/>
          <w:numId w:val="40"/>
        </w:numPr>
      </w:pPr>
      <w:r>
        <w:rPr>
          <w:rFonts w:ascii="Calibri" w:hAnsi="Calibri"/>
          <w:b w:val="0"/>
          <w:sz w:val="20"/>
        </w:rPr>
        <w:t xml:space="preserve">the 15-versus-16 package mismatch, including </w:t>
      </w:r>
      <w:r>
        <w:rPr>
          <w:rFonts w:ascii="Consolas" w:hAnsi="Consolas"/>
          <w:color w:val="1F4D78"/>
          <w:sz w:val="19"/>
        </w:rPr>
        <w:t>analytics</w:t>
      </w:r>
      <w:r>
        <w:rPr>
          <w:rFonts w:ascii="Calibri" w:hAnsi="Calibri"/>
          <w:b w:val="0"/>
          <w:sz w:val="20"/>
        </w:rPr>
        <w:t>, is resolved in manifests, site copy, registry metadata, mirror export, and release automation;</w:t>
      </w:r>
    </w:p>
    <w:p>
      <w:pPr>
        <w:widowControl/>
        <w:numPr>
          <w:ilvl w:val="0"/>
          <w:numId w:val="40"/>
        </w:numPr>
      </w:pPr>
      <w:r>
        <w:rPr>
          <w:rFonts w:ascii="Calibri" w:hAnsi="Calibri"/>
          <w:b w:val="0"/>
          <w:sz w:val="20"/>
        </w:rPr>
        <w:t>human contributors, AI-assisted work, predecessor repositories, accounts, dependencies, fonts, media, examples, and data are scheduled;</w:t>
      </w:r>
    </w:p>
    <w:p>
      <w:pPr>
        <w:widowControl/>
        <w:numPr>
          <w:ilvl w:val="0"/>
          <w:numId w:val="40"/>
        </w:numPr>
      </w:pPr>
      <w:r>
        <w:rPr>
          <w:rFonts w:ascii="Calibri" w:hAnsi="Calibri"/>
          <w:b w:val="0"/>
          <w:sz w:val="20"/>
        </w:rPr>
        <w:t>LICENSE, NOTICE if required, SPDX, copyright, package metadata, and trademark policy are consistent;</w:t>
      </w:r>
    </w:p>
    <w:p>
      <w:pPr>
        <w:widowControl/>
        <w:numPr>
          <w:ilvl w:val="0"/>
          <w:numId w:val="40"/>
        </w:numPr>
      </w:pPr>
      <w:r>
        <w:rPr>
          <w:rFonts w:ascii="Calibri" w:hAnsi="Calibri"/>
          <w:b w:val="0"/>
          <w:sz w:val="20"/>
        </w:rPr>
        <w:t>commercial material is excluded from the open mirror;</w:t>
      </w:r>
    </w:p>
    <w:p>
      <w:pPr>
        <w:widowControl/>
        <w:numPr>
          <w:ilvl w:val="0"/>
          <w:numId w:val="40"/>
        </w:numPr>
      </w:pPr>
      <w:r>
        <w:rPr>
          <w:rFonts w:ascii="Calibri" w:hAnsi="Calibri"/>
          <w:b w:val="0"/>
          <w:sz w:val="20"/>
        </w:rPr>
        <w:t>the public snapshot and exact release bytes are archived; and</w:t>
      </w:r>
    </w:p>
    <w:p>
      <w:pPr>
        <w:widowControl/>
        <w:numPr>
          <w:ilvl w:val="0"/>
          <w:numId w:val="40"/>
        </w:numPr>
      </w:pPr>
      <w:r>
        <w:rPr>
          <w:rFonts w:ascii="Calibri" w:hAnsi="Calibri"/>
          <w:b w:val="0"/>
          <w:sz w:val="20"/>
        </w:rPr>
        <w:t>counsel has approved the ownership and licensing representations to be made at release.</w:t>
      </w:r>
    </w:p>
    <w:p>
      <w:pPr>
        <w:pStyle w:val="Heading1"/>
        <w:pageBreakBefore w:val="0"/>
      </w:pPr>
      <w:r>
        <w:rPr>
          <w:rFonts w:ascii="Calibri" w:hAnsi="Calibri"/>
          <w:b/>
        </w:rPr>
        <w:t>Part F - Periodic review</w:t>
      </w:r>
    </w:p>
    <w:p>
      <w:pPr>
        <w:keepLines w:val="0"/>
        <w:widowControl/>
      </w:pPr>
      <w:r>
        <w:rPr>
          <w:rFonts w:ascii="Calibri" w:hAnsi="Calibri"/>
          <w:b w:val="0"/>
          <w:sz w:val="21"/>
        </w:rPr>
        <w:t>The manager shall review this delegation and platform schedule at least quarterly and upon any ownership, trust, platform, employment, security, or tax change. Each review is dated and retained.</w:t>
      </w: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supply final appointment, acceptance, authority certificates, dollar/term limits, articles filing evidence, and platform-specific forms.</w:t>
      </w:r>
    </w:p>
    <w:p>
      <w:pPr>
        <w:pStyle w:val="Heading1"/>
        <w:pageBreakBefore/>
      </w:pPr>
      <w:r>
        <w:rPr>
          <w:rFonts w:ascii="Calibri" w:hAnsi="Calibri"/>
          <w:b/>
        </w:rPr>
        <w:t>Instrument 7 - Death, Incapacity, Successor Acceptance, and Continuity Protocol</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Part A - Trigger and continuity principles</w:t>
      </w:r>
    </w:p>
    <w:p>
      <w:pPr>
        <w:pStyle w:val="Heading2"/>
        <w:pageBreakBefore w:val="0"/>
      </w:pPr>
      <w:r>
        <w:rPr>
          <w:rFonts w:ascii="Calibri" w:hAnsi="Calibri"/>
          <w:b/>
        </w:rPr>
        <w:t>1. Covered transition</w:t>
      </w:r>
    </w:p>
    <w:p>
      <w:pPr>
        <w:keepLines w:val="0"/>
        <w:widowControl/>
      </w:pPr>
      <w:r>
        <w:rPr>
          <w:rFonts w:ascii="Calibri" w:hAnsi="Calibri"/>
          <w:b w:val="0"/>
          <w:sz w:val="21"/>
        </w:rPr>
        <w:t>This protocol applies before the Handoff Time upon Lakshmi's death, Incapacity, resignation, removal for cause, disappearance, or other inability to serve as trustee or manager.</w:t>
      </w:r>
    </w:p>
    <w:p>
      <w:pPr>
        <w:pStyle w:val="Heading2"/>
        <w:pageBreakBefore w:val="0"/>
      </w:pPr>
      <w:r>
        <w:rPr>
          <w:rFonts w:ascii="Calibri" w:hAnsi="Calibri"/>
          <w:b/>
        </w:rPr>
        <w:t>2. Incapacity standard</w:t>
      </w:r>
    </w:p>
    <w:p>
      <w:pPr>
        <w:keepLines w:val="0"/>
        <w:widowControl/>
      </w:pPr>
      <w:r>
        <w:rPr>
          <w:rFonts w:ascii="Calibri" w:hAnsi="Calibri"/>
          <w:b w:val="0"/>
          <w:sz w:val="21"/>
        </w:rPr>
        <w:t>"Incapacity" means [COUNSEL: choose a standard based on a court order, two licensed physicians, a treating physician plus independent physician, activated durable power of attorney, or another administrable test]. The standard must address HIPAA authorizations, temporary incapacity, restoration of capacity, and platform evidence without giving an interested person unilateral power to manufacture a transition.</w:t>
      </w:r>
    </w:p>
    <w:p>
      <w:pPr>
        <w:pStyle w:val="Heading2"/>
        <w:pageBreakBefore w:val="0"/>
      </w:pPr>
      <w:r>
        <w:rPr>
          <w:rFonts w:ascii="Calibri" w:hAnsi="Calibri"/>
          <w:b/>
        </w:rPr>
        <w:t>3. Separate offices</w:t>
      </w:r>
    </w:p>
    <w:p>
      <w:pPr>
        <w:keepLines w:val="0"/>
        <w:widowControl/>
      </w:pPr>
      <w:r>
        <w:rPr>
          <w:rFonts w:ascii="Calibri" w:hAnsi="Calibri"/>
          <w:b w:val="0"/>
          <w:sz w:val="21"/>
        </w:rPr>
        <w:t>Trustee, record member, and Company manager are separate offices. A person may succeed to both, but each acceptance and record update must identify the capacity. No vacancy changes Liam's beneficial interest, the Handoff Time, or the pre-Handoff death disposition.</w:t>
      </w:r>
    </w:p>
    <w:p>
      <w:pPr>
        <w:pStyle w:val="Heading2"/>
        <w:pageBreakBefore w:val="0"/>
      </w:pPr>
      <w:r>
        <w:rPr>
          <w:rFonts w:ascii="Calibri" w:hAnsi="Calibri"/>
          <w:b/>
        </w:rPr>
        <w:t>4. Company continues</w:t>
      </w:r>
    </w:p>
    <w:p>
      <w:pPr>
        <w:keepLines w:val="0"/>
        <w:widowControl/>
      </w:pPr>
      <w:r>
        <w:rPr>
          <w:rFonts w:ascii="Calibri" w:hAnsi="Calibri"/>
          <w:b w:val="0"/>
          <w:sz w:val="21"/>
        </w:rPr>
        <w:t>The Company shall continue without dissolution, winding up, credential abandonment, or interruption merely because of a covered transition.</w:t>
      </w:r>
    </w:p>
    <w:p>
      <w:pPr>
        <w:pStyle w:val="Heading1"/>
        <w:pageBreakBefore w:val="0"/>
      </w:pPr>
      <w:r>
        <w:rPr>
          <w:rFonts w:ascii="Calibri" w:hAnsi="Calibri"/>
          <w:b/>
        </w:rPr>
        <w:t>Part B - Vik Thadani's successor acceptance</w:t>
      </w:r>
    </w:p>
    <w:p>
      <w:pPr>
        <w:pStyle w:val="Heading2"/>
        <w:pageBreakBefore w:val="0"/>
      </w:pPr>
      <w:r>
        <w:rPr>
          <w:rFonts w:ascii="Calibri" w:hAnsi="Calibri"/>
          <w:b/>
        </w:rPr>
        <w:t>5. Acceptance as successor trustee</w:t>
      </w:r>
    </w:p>
    <w:p>
      <w:pPr>
        <w:keepLines w:val="0"/>
        <w:widowControl/>
      </w:pPr>
      <w:r>
        <w:rPr>
          <w:rFonts w:ascii="Calibri" w:hAnsi="Calibri"/>
          <w:b w:val="0"/>
          <w:sz w:val="21"/>
        </w:rPr>
        <w:t>Upon a covered transition, Vik Thadani may deliver a written acceptance that:</w:t>
      </w:r>
    </w:p>
    <w:p>
      <w:pPr>
        <w:widowControl/>
        <w:numPr>
          <w:ilvl w:val="0"/>
          <w:numId w:val="41"/>
        </w:numPr>
      </w:pPr>
      <w:r>
        <w:rPr>
          <w:rFonts w:ascii="Calibri" w:hAnsi="Calibri"/>
          <w:b w:val="0"/>
          <w:sz w:val="20"/>
        </w:rPr>
        <w:t>identifies the triggering event and supporting evidence;</w:t>
      </w:r>
    </w:p>
    <w:p>
      <w:pPr>
        <w:widowControl/>
        <w:numPr>
          <w:ilvl w:val="0"/>
          <w:numId w:val="41"/>
        </w:numPr>
      </w:pPr>
      <w:r>
        <w:rPr>
          <w:rFonts w:ascii="Calibri" w:hAnsi="Calibri"/>
          <w:b w:val="0"/>
          <w:sz w:val="20"/>
        </w:rPr>
        <w:t>accepts the trusteeship and Trust Property in fiduciary capacity;</w:t>
      </w:r>
    </w:p>
    <w:p>
      <w:pPr>
        <w:widowControl/>
        <w:numPr>
          <w:ilvl w:val="0"/>
          <w:numId w:val="41"/>
        </w:numPr>
      </w:pPr>
      <w:r>
        <w:rPr>
          <w:rFonts w:ascii="Calibri" w:hAnsi="Calibri"/>
          <w:b w:val="0"/>
          <w:sz w:val="20"/>
        </w:rPr>
        <w:t>agrees to the Trust's irrevocability, sole-benefit rule, fixed economics, and Handoff Time;</w:t>
      </w:r>
    </w:p>
    <w:p>
      <w:pPr>
        <w:widowControl/>
        <w:numPr>
          <w:ilvl w:val="0"/>
          <w:numId w:val="41"/>
        </w:numPr>
      </w:pPr>
      <w:r>
        <w:rPr>
          <w:rFonts w:ascii="Calibri" w:hAnsi="Calibri"/>
          <w:b w:val="0"/>
          <w:sz w:val="20"/>
        </w:rPr>
        <w:t>acknowledges that he may not redirect, revoke, amend, or personally benefit from the Trust;</w:t>
      </w:r>
    </w:p>
    <w:p>
      <w:pPr>
        <w:widowControl/>
        <w:numPr>
          <w:ilvl w:val="0"/>
          <w:numId w:val="41"/>
        </w:numPr>
      </w:pPr>
      <w:r>
        <w:rPr>
          <w:rFonts w:ascii="Calibri" w:hAnsi="Calibri"/>
          <w:b w:val="0"/>
          <w:sz w:val="20"/>
        </w:rPr>
        <w:t>accepts custody and accounting responsibility; and</w:t>
      </w:r>
    </w:p>
    <w:p>
      <w:pPr>
        <w:widowControl/>
        <w:numPr>
          <w:ilvl w:val="0"/>
          <w:numId w:val="41"/>
        </w:numPr>
      </w:pPr>
      <w:r>
        <w:rPr>
          <w:rFonts w:ascii="Calibri" w:hAnsi="Calibri"/>
          <w:b w:val="0"/>
          <w:sz w:val="20"/>
        </w:rPr>
        <w:t>identifies his address, tax information, bond/insurance status, and independent advisor.</w:t>
      </w:r>
    </w:p>
    <w:p>
      <w:pPr>
        <w:pStyle w:val="Heading2"/>
        <w:pageBreakBefore w:val="0"/>
      </w:pPr>
      <w:r>
        <w:rPr>
          <w:rFonts w:ascii="Calibri" w:hAnsi="Calibri"/>
          <w:b/>
        </w:rPr>
        <w:t>6. Continuation as Company member</w:t>
      </w:r>
    </w:p>
    <w:p>
      <w:pPr>
        <w:keepLines w:val="0"/>
        <w:widowControl/>
      </w:pPr>
      <w:r>
        <w:rPr>
          <w:rFonts w:ascii="Calibri" w:hAnsi="Calibri"/>
          <w:b w:val="0"/>
          <w:sz w:val="21"/>
        </w:rPr>
        <w:t>Upon qualification, written acceptance of the trusteeship, written consent to the operating agreement and member status, delivery of the required trust certification, and satisfaction of the advance admission conditions, Vik Thadani solely as successor trustee is admitted as the Company's sole member in fiduciary capacity. Legal title passes to the serving trustee; the Company updates the fiduciary name on the ledger but does not record Vik individually as a member or beneficiary or change Liam's beneficial interest or the percentage.</w:t>
      </w:r>
    </w:p>
    <w:p>
      <w:pPr>
        <w:pStyle w:val="Heading2"/>
        <w:pageBreakBefore w:val="0"/>
      </w:pPr>
      <w:r>
        <w:rPr>
          <w:rFonts w:ascii="Calibri" w:hAnsi="Calibri"/>
          <w:b/>
        </w:rPr>
        <w:t>7. Acceptance as successor manager</w:t>
      </w:r>
    </w:p>
    <w:p>
      <w:pPr>
        <w:keepLines w:val="0"/>
        <w:widowControl/>
      </w:pPr>
      <w:r>
        <w:rPr>
          <w:rFonts w:ascii="Calibri" w:hAnsi="Calibri"/>
          <w:b w:val="0"/>
          <w:sz w:val="21"/>
        </w:rPr>
        <w:t>Vik Thadani separately accepts appointment as Company manager and agrees to Instruments 5 and 6. If he accepts one office but not the other, the professional/court fallback fills the vacant office without changing economics.</w:t>
      </w:r>
    </w:p>
    <w:p>
      <w:pPr>
        <w:pStyle w:val="Heading1"/>
        <w:pageBreakBefore w:val="0"/>
      </w:pPr>
      <w:r>
        <w:rPr>
          <w:rFonts w:ascii="Calibri" w:hAnsi="Calibri"/>
          <w:b/>
        </w:rPr>
        <w:t>Part C - Immediate preservation powers</w:t>
      </w:r>
    </w:p>
    <w:p>
      <w:pPr>
        <w:pStyle w:val="Heading2"/>
        <w:pageBreakBefore w:val="0"/>
      </w:pPr>
      <w:r>
        <w:rPr>
          <w:rFonts w:ascii="Calibri" w:hAnsi="Calibri"/>
          <w:b/>
        </w:rPr>
        <w:t>8. Emergency period</w:t>
      </w:r>
    </w:p>
    <w:p>
      <w:pPr>
        <w:keepLines w:val="0"/>
        <w:widowControl/>
      </w:pPr>
      <w:r>
        <w:rPr>
          <w:rFonts w:ascii="Calibri" w:hAnsi="Calibri"/>
          <w:b w:val="0"/>
          <w:sz w:val="21"/>
        </w:rPr>
        <w:t>Only a person who has delivered a valid trustee or manager acceptance, or who holds a separate temporary appointment or court order, may exercise emergency authority. Nomination alone creates no power. After valid authority begins and before routine records are updated, that person may take reasonable preservation actions, including:</w:t>
      </w:r>
    </w:p>
    <w:p>
      <w:pPr>
        <w:widowControl/>
        <w:numPr>
          <w:ilvl w:val="0"/>
          <w:numId w:val="42"/>
        </w:numPr>
      </w:pPr>
      <w:r>
        <w:rPr>
          <w:rFonts w:ascii="Calibri" w:hAnsi="Calibri"/>
          <w:b w:val="0"/>
          <w:sz w:val="20"/>
        </w:rPr>
        <w:t>securing physical and digital records;</w:t>
      </w:r>
    </w:p>
    <w:p>
      <w:pPr>
        <w:widowControl/>
        <w:numPr>
          <w:ilvl w:val="0"/>
          <w:numId w:val="42"/>
        </w:numPr>
      </w:pPr>
      <w:r>
        <w:rPr>
          <w:rFonts w:ascii="Calibri" w:hAnsi="Calibri"/>
          <w:b w:val="0"/>
          <w:sz w:val="20"/>
        </w:rPr>
        <w:t>preventing credential loss or unauthorized access;</w:t>
      </w:r>
    </w:p>
    <w:p>
      <w:pPr>
        <w:widowControl/>
        <w:numPr>
          <w:ilvl w:val="0"/>
          <w:numId w:val="42"/>
        </w:numPr>
      </w:pPr>
      <w:r>
        <w:rPr>
          <w:rFonts w:ascii="Calibri" w:hAnsi="Calibri"/>
          <w:b w:val="0"/>
          <w:sz w:val="20"/>
        </w:rPr>
        <w:t>preserving payroll, insurance, tax, customer support, domains, repositories, and production services;</w:t>
      </w:r>
    </w:p>
    <w:p>
      <w:pPr>
        <w:widowControl/>
        <w:numPr>
          <w:ilvl w:val="0"/>
          <w:numId w:val="42"/>
        </w:numPr>
      </w:pPr>
      <w:r>
        <w:rPr>
          <w:rFonts w:ascii="Calibri" w:hAnsi="Calibri"/>
          <w:b w:val="0"/>
          <w:sz w:val="20"/>
        </w:rPr>
        <w:t>notifying banks, payment processors, insurers, counsel, and critical vendors;</w:t>
      </w:r>
    </w:p>
    <w:p>
      <w:pPr>
        <w:widowControl/>
        <w:numPr>
          <w:ilvl w:val="0"/>
          <w:numId w:val="42"/>
        </w:numPr>
      </w:pPr>
      <w:r>
        <w:rPr>
          <w:rFonts w:ascii="Calibri" w:hAnsi="Calibri"/>
          <w:b w:val="0"/>
          <w:sz w:val="20"/>
        </w:rPr>
        <w:t>pausing checkout, releases, transfers, or deployments if necessary to prevent harm;</w:t>
      </w:r>
    </w:p>
    <w:p>
      <w:pPr>
        <w:widowControl/>
        <w:numPr>
          <w:ilvl w:val="0"/>
          <w:numId w:val="42"/>
        </w:numPr>
      </w:pPr>
      <w:r>
        <w:rPr>
          <w:rFonts w:ascii="Calibri" w:hAnsi="Calibri"/>
          <w:b w:val="0"/>
          <w:sz w:val="20"/>
        </w:rPr>
        <w:t>maintaining legally required filings; and</w:t>
      </w:r>
    </w:p>
    <w:p>
      <w:pPr>
        <w:widowControl/>
        <w:numPr>
          <w:ilvl w:val="0"/>
          <w:numId w:val="42"/>
        </w:numPr>
      </w:pPr>
      <w:r>
        <w:rPr>
          <w:rFonts w:ascii="Calibri" w:hAnsi="Calibri"/>
          <w:b w:val="0"/>
          <w:sz w:val="20"/>
        </w:rPr>
        <w:t>seeking expedited court instructions.</w:t>
      </w:r>
    </w:p>
    <w:p>
      <w:pPr>
        <w:keepLines w:val="0"/>
        <w:widowControl/>
      </w:pPr>
      <w:r>
        <w:rPr>
          <w:rFonts w:ascii="Calibri" w:hAnsi="Calibri"/>
          <w:b w:val="0"/>
          <w:sz w:val="21"/>
        </w:rPr>
        <w:t>Emergency authority does not permit a sale to a related party, a beneficiary change, a new member, a new equity issuance, an IP transfer, or a discretionary postponement of the Handoff Time.</w:t>
      </w:r>
    </w:p>
    <w:p>
      <w:pPr>
        <w:pStyle w:val="Heading2"/>
        <w:pageBreakBefore w:val="0"/>
      </w:pPr>
      <w:r>
        <w:rPr>
          <w:rFonts w:ascii="Calibri" w:hAnsi="Calibri"/>
          <w:b/>
        </w:rPr>
        <w:t>9. Transition inventory</w:t>
      </w:r>
    </w:p>
    <w:p>
      <w:pPr>
        <w:keepLines w:val="0"/>
        <w:widowControl/>
      </w:pPr>
      <w:r>
        <w:rPr>
          <w:rFonts w:ascii="Calibri" w:hAnsi="Calibri"/>
          <w:b w:val="0"/>
          <w:sz w:val="21"/>
        </w:rPr>
        <w:t>Within [COUNSEL: number] business days, the successor shall inventory:</w:t>
      </w:r>
    </w:p>
    <w:p>
      <w:pPr>
        <w:widowControl/>
        <w:numPr>
          <w:ilvl w:val="0"/>
          <w:numId w:val="43"/>
        </w:numPr>
      </w:pPr>
      <w:r>
        <w:rPr>
          <w:rFonts w:ascii="Calibri" w:hAnsi="Calibri"/>
          <w:b w:val="0"/>
          <w:sz w:val="20"/>
        </w:rPr>
        <w:t>Trust and Company accounts;</w:t>
      </w:r>
    </w:p>
    <w:p>
      <w:pPr>
        <w:widowControl/>
        <w:numPr>
          <w:ilvl w:val="0"/>
          <w:numId w:val="43"/>
        </w:numPr>
      </w:pPr>
      <w:r>
        <w:rPr>
          <w:rFonts w:ascii="Calibri" w:hAnsi="Calibri"/>
          <w:b w:val="0"/>
          <w:sz w:val="20"/>
        </w:rPr>
        <w:t>member and manager records;</w:t>
      </w:r>
    </w:p>
    <w:p>
      <w:pPr>
        <w:widowControl/>
        <w:numPr>
          <w:ilvl w:val="0"/>
          <w:numId w:val="43"/>
        </w:numPr>
      </w:pPr>
      <w:r>
        <w:rPr>
          <w:rFonts w:ascii="Calibri" w:hAnsi="Calibri"/>
          <w:b w:val="0"/>
          <w:sz w:val="20"/>
        </w:rPr>
        <w:t>repositories and package registries;</w:t>
      </w:r>
    </w:p>
    <w:p>
      <w:pPr>
        <w:widowControl/>
        <w:numPr>
          <w:ilvl w:val="0"/>
          <w:numId w:val="43"/>
        </w:numPr>
      </w:pPr>
      <w:r>
        <w:rPr>
          <w:rFonts w:ascii="Calibri" w:hAnsi="Calibri"/>
          <w:b w:val="0"/>
          <w:sz w:val="20"/>
        </w:rPr>
        <w:t>domain, DNS, hosting, cloud, database, email, and password-manager accounts;</w:t>
      </w:r>
    </w:p>
    <w:p>
      <w:pPr>
        <w:widowControl/>
        <w:numPr>
          <w:ilvl w:val="0"/>
          <w:numId w:val="43"/>
        </w:numPr>
      </w:pPr>
      <w:r>
        <w:rPr>
          <w:rFonts w:ascii="Calibri" w:hAnsi="Calibri"/>
          <w:b w:val="0"/>
          <w:sz w:val="20"/>
        </w:rPr>
        <w:t>bank, card, payroll, tax, Paddle, and Mercury access;</w:t>
      </w:r>
    </w:p>
    <w:p>
      <w:pPr>
        <w:widowControl/>
        <w:numPr>
          <w:ilvl w:val="0"/>
          <w:numId w:val="43"/>
        </w:numPr>
      </w:pPr>
      <w:r>
        <w:rPr>
          <w:rFonts w:ascii="Calibri" w:hAnsi="Calibri"/>
          <w:b w:val="0"/>
          <w:sz w:val="20"/>
        </w:rPr>
        <w:t>code-signing, encryption, license-issuance, recovery, and hardware keys;</w:t>
      </w:r>
    </w:p>
    <w:p>
      <w:pPr>
        <w:widowControl/>
        <w:numPr>
          <w:ilvl w:val="0"/>
          <w:numId w:val="43"/>
        </w:numPr>
      </w:pPr>
      <w:r>
        <w:rPr>
          <w:rFonts w:ascii="Calibri" w:hAnsi="Calibri"/>
          <w:b w:val="0"/>
          <w:sz w:val="20"/>
        </w:rPr>
        <w:t>active contracts, customer obligations, employment, insurance, and litigation;</w:t>
      </w:r>
    </w:p>
    <w:p>
      <w:pPr>
        <w:widowControl/>
        <w:numPr>
          <w:ilvl w:val="0"/>
          <w:numId w:val="43"/>
        </w:numPr>
      </w:pPr>
      <w:r>
        <w:rPr>
          <w:rFonts w:ascii="Calibri" w:hAnsi="Calibri"/>
          <w:b w:val="0"/>
          <w:sz w:val="20"/>
        </w:rPr>
        <w:t>public copyright, open-source, legal, and marketing statements; and</w:t>
      </w:r>
    </w:p>
    <w:p>
      <w:pPr>
        <w:widowControl/>
        <w:numPr>
          <w:ilvl w:val="0"/>
          <w:numId w:val="43"/>
        </w:numPr>
      </w:pPr>
      <w:r>
        <w:rPr>
          <w:rFonts w:ascii="Calibri" w:hAnsi="Calibri"/>
          <w:b w:val="0"/>
          <w:sz w:val="20"/>
        </w:rPr>
        <w:t>the escrowed Handoff Time documents.</w:t>
      </w:r>
    </w:p>
    <w:p>
      <w:pPr>
        <w:pStyle w:val="Heading1"/>
        <w:pageBreakBefore w:val="0"/>
      </w:pPr>
      <w:r>
        <w:rPr>
          <w:rFonts w:ascii="Calibri" w:hAnsi="Calibri"/>
          <w:b/>
        </w:rPr>
        <w:t>Part D - Professional and court fallback</w:t>
      </w:r>
    </w:p>
    <w:p>
      <w:pPr>
        <w:pStyle w:val="Heading2"/>
        <w:pageBreakBefore w:val="0"/>
      </w:pPr>
      <w:r>
        <w:rPr>
          <w:rFonts w:ascii="Calibri" w:hAnsi="Calibri"/>
          <w:b/>
        </w:rPr>
        <w:t>10. Failure or inability of Vik Thadani to serve</w:t>
      </w:r>
    </w:p>
    <w:p>
      <w:pPr>
        <w:keepLines w:val="0"/>
        <w:widowControl/>
      </w:pPr>
      <w:r>
        <w:rPr>
          <w:rFonts w:ascii="Calibri" w:hAnsi="Calibri"/>
          <w:b w:val="0"/>
          <w:sz w:val="21"/>
        </w:rPr>
        <w:t>If Vik declines, is unable, is disqualified, fails to accept within [COUNSEL: number] business days, or later ceases to serve:</w:t>
      </w:r>
    </w:p>
    <w:p>
      <w:pPr>
        <w:widowControl/>
        <w:numPr>
          <w:ilvl w:val="0"/>
          <w:numId w:val="44"/>
        </w:numPr>
      </w:pPr>
      <w:r>
        <w:rPr>
          <w:rFonts w:ascii="Calibri" w:hAnsi="Calibri"/>
          <w:b w:val="0"/>
          <w:sz w:val="20"/>
        </w:rPr>
        <w:t>[COUNSEL: named professional fiduciary] is nominated as trustee;</w:t>
      </w:r>
    </w:p>
    <w:p>
      <w:pPr>
        <w:widowControl/>
        <w:numPr>
          <w:ilvl w:val="0"/>
          <w:numId w:val="44"/>
        </w:numPr>
      </w:pPr>
      <w:r>
        <w:rPr>
          <w:rFonts w:ascii="Calibri" w:hAnsi="Calibri"/>
          <w:b w:val="0"/>
          <w:sz w:val="20"/>
        </w:rPr>
        <w:t>[COUNSEL: named professional manager or appointment mechanism] is nominated as manager;</w:t>
      </w:r>
    </w:p>
    <w:p>
      <w:pPr>
        <w:widowControl/>
        <w:numPr>
          <w:ilvl w:val="0"/>
          <w:numId w:val="44"/>
        </w:numPr>
      </w:pPr>
      <w:r>
        <w:rPr>
          <w:rFonts w:ascii="Calibri" w:hAnsi="Calibri"/>
          <w:b w:val="0"/>
          <w:sz w:val="20"/>
        </w:rPr>
        <w:t>if a nominee does not accept promptly, any interested person shall seek an expedited court appointment; and</w:t>
      </w:r>
    </w:p>
    <w:p>
      <w:pPr>
        <w:widowControl/>
        <w:numPr>
          <w:ilvl w:val="0"/>
          <w:numId w:val="44"/>
        </w:numPr>
      </w:pPr>
      <w:r>
        <w:rPr>
          <w:rFonts w:ascii="Calibri" w:hAnsi="Calibri"/>
          <w:b w:val="0"/>
          <w:sz w:val="20"/>
        </w:rPr>
        <w:t>the interim custodian may take preservation actions only.</w:t>
      </w:r>
    </w:p>
    <w:p>
      <w:pPr>
        <w:pStyle w:val="Heading2"/>
        <w:pageBreakBefore w:val="0"/>
      </w:pPr>
      <w:r>
        <w:rPr>
          <w:rFonts w:ascii="Calibri" w:hAnsi="Calibri"/>
          <w:b/>
        </w:rPr>
        <w:t>11. Court instructions</w:t>
      </w:r>
    </w:p>
    <w:p>
      <w:pPr>
        <w:keepLines w:val="0"/>
        <w:widowControl/>
      </w:pPr>
      <w:r>
        <w:rPr>
          <w:rFonts w:ascii="Calibri" w:hAnsi="Calibri"/>
          <w:b w:val="0"/>
          <w:sz w:val="21"/>
        </w:rPr>
        <w:t>The petition shall request an appointee bound by the fixed Trust purposes and Company continuity terms. The petition shall not request authority to redirect beneficial ownership, postpone the Handoff Time, or distribute sale proceeds outside the Trust.</w:t>
      </w:r>
    </w:p>
    <w:p>
      <w:pPr>
        <w:pStyle w:val="Heading2"/>
        <w:pageBreakBefore w:val="0"/>
      </w:pPr>
      <w:r>
        <w:rPr>
          <w:rFonts w:ascii="Calibri" w:hAnsi="Calibri"/>
          <w:b/>
        </w:rPr>
        <w:t>12. Bond, insurance, and compensation</w:t>
      </w:r>
    </w:p>
    <w:p>
      <w:pPr>
        <w:keepLines w:val="0"/>
        <w:widowControl/>
      </w:pPr>
      <w:r>
        <w:rPr>
          <w:rFonts w:ascii="Calibri" w:hAnsi="Calibri"/>
          <w:b w:val="0"/>
          <w:sz w:val="21"/>
        </w:rPr>
        <w:t>[COUNSEL: specify bond and insurance.] A professional may receive reasonable compensation approved under a disclosed schedule. Compensation is an administrative expense, not a beneficial distribution.</w:t>
      </w:r>
    </w:p>
    <w:p>
      <w:pPr>
        <w:pStyle w:val="Heading1"/>
        <w:pageBreakBefore w:val="0"/>
      </w:pPr>
      <w:r>
        <w:rPr>
          <w:rFonts w:ascii="Calibri" w:hAnsi="Calibri"/>
          <w:b/>
        </w:rPr>
        <w:t>Part E - Beneficiary events</w:t>
      </w:r>
    </w:p>
    <w:p>
      <w:pPr>
        <w:pStyle w:val="Heading2"/>
        <w:pageBreakBefore w:val="0"/>
      </w:pPr>
      <w:r>
        <w:rPr>
          <w:rFonts w:ascii="Calibri" w:hAnsi="Calibri"/>
          <w:b/>
        </w:rPr>
        <w:t>13. Liam living</w:t>
      </w:r>
    </w:p>
    <w:p>
      <w:pPr>
        <w:keepLines w:val="0"/>
        <w:widowControl/>
      </w:pPr>
      <w:r>
        <w:rPr>
          <w:rFonts w:ascii="Calibri" w:hAnsi="Calibri"/>
          <w:b w:val="0"/>
          <w:sz w:val="21"/>
        </w:rPr>
        <w:t>If Liam is living, every successor administers solely for him and completes the Handoff Time closing exactly as scheduled.</w:t>
      </w:r>
    </w:p>
    <w:p>
      <w:pPr>
        <w:pStyle w:val="Heading2"/>
        <w:pageBreakBefore w:val="0"/>
      </w:pPr>
      <w:r>
        <w:rPr>
          <w:rFonts w:ascii="Calibri" w:hAnsi="Calibri"/>
          <w:b/>
        </w:rPr>
        <w:t>14. Liam dies before Handoff Time</w:t>
      </w:r>
    </w:p>
    <w:p>
      <w:pPr>
        <w:keepLines w:val="0"/>
        <w:widowControl/>
      </w:pPr>
      <w:r>
        <w:rPr>
          <w:rFonts w:ascii="Calibri" w:hAnsi="Calibri"/>
          <w:b w:val="0"/>
          <w:sz w:val="21"/>
        </w:rPr>
        <w:t>If Liam dies before the Handoff Time, the successor shall:</w:t>
      </w:r>
    </w:p>
    <w:p>
      <w:pPr>
        <w:widowControl/>
        <w:numPr>
          <w:ilvl w:val="0"/>
          <w:numId w:val="45"/>
        </w:numPr>
      </w:pPr>
      <w:r>
        <w:rPr>
          <w:rFonts w:ascii="Calibri" w:hAnsi="Calibri"/>
          <w:b w:val="0"/>
          <w:sz w:val="20"/>
        </w:rPr>
        <w:t>obtain reliable death evidence;</w:t>
      </w:r>
    </w:p>
    <w:p>
      <w:pPr>
        <w:widowControl/>
        <w:numPr>
          <w:ilvl w:val="0"/>
          <w:numId w:val="45"/>
        </w:numPr>
      </w:pPr>
      <w:r>
        <w:rPr>
          <w:rFonts w:ascii="Calibri" w:hAnsi="Calibri"/>
          <w:b w:val="0"/>
          <w:sz w:val="20"/>
        </w:rPr>
        <w:t>notify the escrow holder to cancel the Liam closing packet;</w:t>
      </w:r>
    </w:p>
    <w:p>
      <w:pPr>
        <w:widowControl/>
        <w:numPr>
          <w:ilvl w:val="0"/>
          <w:numId w:val="45"/>
        </w:numPr>
      </w:pPr>
      <w:r>
        <w:rPr>
          <w:rFonts w:ascii="Calibri" w:hAnsi="Calibri"/>
          <w:b w:val="0"/>
          <w:sz w:val="20"/>
        </w:rPr>
        <w:t>preserve and account for Trust Property;</w:t>
      </w:r>
    </w:p>
    <w:p>
      <w:pPr>
        <w:widowControl/>
        <w:numPr>
          <w:ilvl w:val="0"/>
          <w:numId w:val="45"/>
        </w:numPr>
      </w:pPr>
      <w:r>
        <w:rPr>
          <w:rFonts w:ascii="Calibri" w:hAnsi="Calibri"/>
          <w:b w:val="0"/>
          <w:sz w:val="20"/>
        </w:rPr>
        <w:t>transfer the Trust Property to Lakshmi under Instrument 2 if she is living; and</w:t>
      </w:r>
    </w:p>
    <w:p>
      <w:pPr>
        <w:widowControl/>
        <w:numPr>
          <w:ilvl w:val="0"/>
          <w:numId w:val="45"/>
        </w:numPr>
      </w:pPr>
      <w:r>
        <w:rPr>
          <w:rFonts w:ascii="Calibri" w:hAnsi="Calibri"/>
          <w:b w:val="0"/>
          <w:sz w:val="20"/>
        </w:rPr>
        <w:t>apply the counsel-completed alternate disposition if Lakshmi is not living or order of death is uncertain.</w:t>
      </w:r>
    </w:p>
    <w:p>
      <w:pPr>
        <w:keepLines w:val="0"/>
        <w:widowControl/>
      </w:pPr>
      <w:r>
        <w:rPr>
          <w:rFonts w:ascii="Calibri" w:hAnsi="Calibri"/>
          <w:b w:val="0"/>
          <w:sz w:val="21"/>
        </w:rPr>
        <w:t>No fiduciary may infer an alternate recipient from the Company operating agreement or a platform beneficiary designation.</w:t>
      </w:r>
    </w:p>
    <w:p>
      <w:pPr>
        <w:pStyle w:val="Heading1"/>
        <w:pageBreakBefore w:val="0"/>
      </w:pPr>
      <w:r>
        <w:rPr>
          <w:rFonts w:ascii="Calibri" w:hAnsi="Calibri"/>
          <w:b/>
        </w:rPr>
        <w:t>Part F - Restoration of capacity</w:t>
      </w:r>
    </w:p>
    <w:p>
      <w:pPr>
        <w:keepLines w:val="0"/>
        <w:widowControl/>
      </w:pPr>
      <w:r>
        <w:rPr>
          <w:rFonts w:ascii="Calibri" w:hAnsi="Calibri"/>
          <w:b w:val="0"/>
          <w:sz w:val="21"/>
        </w:rPr>
        <w:t>If Lakshmi regains capacity before the Handoff Time, [COUNSEL: specify whether and how she may resume as trustee and manager, required evidence, successor accounting, and whether resumption is automatic or independently approved]. A restoration cannot unwind completed lawful actions or change the fixed economics.</w:t>
      </w:r>
    </w:p>
    <w:p>
      <w:pPr>
        <w:pStyle w:val="Heading1"/>
        <w:pageBreakBefore w:val="0"/>
      </w:pPr>
      <w:r>
        <w:rPr>
          <w:rFonts w:ascii="Calibri" w:hAnsi="Calibri"/>
          <w:b/>
        </w:rPr>
        <w:t>Part G - Platform notice packet</w:t>
      </w:r>
    </w:p>
    <w:p>
      <w:pPr>
        <w:keepLines w:val="0"/>
        <w:widowControl/>
      </w:pPr>
      <w:r>
        <w:rPr>
          <w:rFonts w:ascii="Calibri" w:hAnsi="Calibri"/>
          <w:b w:val="0"/>
          <w:sz w:val="21"/>
        </w:rPr>
        <w:t>Counsel shall prepare a transition packet containing:</w:t>
      </w:r>
    </w:p>
    <w:p>
      <w:pPr>
        <w:widowControl/>
        <w:numPr>
          <w:ilvl w:val="0"/>
          <w:numId w:val="46"/>
        </w:numPr>
      </w:pPr>
      <w:r>
        <w:rPr>
          <w:rFonts w:ascii="Calibri" w:hAnsi="Calibri"/>
          <w:b w:val="0"/>
          <w:sz w:val="20"/>
        </w:rPr>
        <w:t>death certificate or Incapacity certificate, redacted where appropriate;</w:t>
      </w:r>
    </w:p>
    <w:p>
      <w:pPr>
        <w:widowControl/>
        <w:numPr>
          <w:ilvl w:val="0"/>
          <w:numId w:val="46"/>
        </w:numPr>
      </w:pPr>
      <w:r>
        <w:rPr>
          <w:rFonts w:ascii="Calibri" w:hAnsi="Calibri"/>
          <w:b w:val="0"/>
          <w:sz w:val="20"/>
        </w:rPr>
        <w:t>Trust certification;</w:t>
      </w:r>
    </w:p>
    <w:p>
      <w:pPr>
        <w:widowControl/>
        <w:numPr>
          <w:ilvl w:val="0"/>
          <w:numId w:val="46"/>
        </w:numPr>
      </w:pPr>
      <w:r>
        <w:rPr>
          <w:rFonts w:ascii="Calibri" w:hAnsi="Calibri"/>
          <w:b w:val="0"/>
          <w:sz w:val="20"/>
        </w:rPr>
        <w:t>successor trustee acceptance;</w:t>
      </w:r>
    </w:p>
    <w:p>
      <w:pPr>
        <w:widowControl/>
        <w:numPr>
          <w:ilvl w:val="0"/>
          <w:numId w:val="46"/>
        </w:numPr>
      </w:pPr>
      <w:r>
        <w:rPr>
          <w:rFonts w:ascii="Calibri" w:hAnsi="Calibri"/>
          <w:b w:val="0"/>
          <w:sz w:val="20"/>
        </w:rPr>
        <w:t>Company manager acceptance and authority certificate;</w:t>
      </w:r>
    </w:p>
    <w:p>
      <w:pPr>
        <w:widowControl/>
        <w:numPr>
          <w:ilvl w:val="0"/>
          <w:numId w:val="46"/>
        </w:numPr>
      </w:pPr>
      <w:r>
        <w:rPr>
          <w:rFonts w:ascii="Calibri" w:hAnsi="Calibri"/>
          <w:b w:val="0"/>
          <w:sz w:val="20"/>
        </w:rPr>
        <w:t>updated member and manager ledger;</w:t>
      </w:r>
    </w:p>
    <w:p>
      <w:pPr>
        <w:widowControl/>
        <w:numPr>
          <w:ilvl w:val="0"/>
          <w:numId w:val="46"/>
        </w:numPr>
      </w:pPr>
      <w:r>
        <w:rPr>
          <w:rFonts w:ascii="Calibri" w:hAnsi="Calibri"/>
          <w:b w:val="0"/>
          <w:sz w:val="20"/>
        </w:rPr>
        <w:t>articles/annual-registration evidence;</w:t>
      </w:r>
    </w:p>
    <w:p>
      <w:pPr>
        <w:widowControl/>
        <w:numPr>
          <w:ilvl w:val="0"/>
          <w:numId w:val="46"/>
        </w:numPr>
      </w:pPr>
      <w:r>
        <w:rPr>
          <w:rFonts w:ascii="Calibri" w:hAnsi="Calibri"/>
          <w:b w:val="0"/>
          <w:sz w:val="20"/>
        </w:rPr>
        <w:t>beneficial-owner/controller explanation approved by counsel;</w:t>
      </w:r>
    </w:p>
    <w:p>
      <w:pPr>
        <w:widowControl/>
        <w:numPr>
          <w:ilvl w:val="0"/>
          <w:numId w:val="46"/>
        </w:numPr>
      </w:pPr>
      <w:r>
        <w:rPr>
          <w:rFonts w:ascii="Calibri" w:hAnsi="Calibri"/>
          <w:b w:val="0"/>
          <w:sz w:val="20"/>
        </w:rPr>
        <w:t>platform-specific update forms; and</w:t>
      </w:r>
    </w:p>
    <w:p>
      <w:pPr>
        <w:widowControl/>
        <w:numPr>
          <w:ilvl w:val="0"/>
          <w:numId w:val="46"/>
        </w:numPr>
      </w:pPr>
      <w:r>
        <w:rPr>
          <w:rFonts w:ascii="Calibri" w:hAnsi="Calibri"/>
          <w:b w:val="0"/>
          <w:sz w:val="20"/>
        </w:rPr>
        <w:t>an account and credential rotation checklist.</w:t>
      </w:r>
    </w:p>
    <w:p>
      <w:pPr>
        <w:pStyle w:val="Heading1"/>
        <w:pageBreakBefore/>
      </w:pPr>
      <w:r>
        <w:rPr>
          <w:rFonts w:ascii="Calibri" w:hAnsi="Calibri"/>
          <w:b/>
        </w:rPr>
        <w:t>Schedule 7-A - Critical recovery register</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255"/>
        <w:gridCol w:w="1161"/>
        <w:gridCol w:w="1298"/>
        <w:gridCol w:w="1981"/>
        <w:gridCol w:w="1913"/>
        <w:gridCol w:w="752"/>
      </w:tblGrid>
      <w:tr>
        <w:trPr>
          <w:cantSplit w:val="true"/>
          <w:tblHeader w:val="true"/>
        </w:trPr>
        <w:tc>
          <w:tcPr>
            <w:tcW w:type="dxa" w:w="2255"/>
            <w:vAlign w:val="center"/>
            <w:shd w:fill="1F4D78"/>
            <w:tcMar>
              <w:top w:w="80" w:type="dxa"/>
              <w:bottom w:w="80" w:type="dxa"/>
              <w:start w:w="120" w:type="dxa"/>
              <w:end w:w="120" w:type="dxa"/>
            </w:tcMar>
          </w:tcPr>
          <w:p>
            <w:pPr>
              <w:pStyle w:val="TableText"/>
              <w:jc w:val="left"/>
            </w:pPr>
            <w:r>
              <w:rPr>
                <w:rFonts w:ascii="Calibri" w:hAnsi="Calibri"/>
                <w:b/>
                <w:color w:val="FFFFFF"/>
                <w:sz w:val="17"/>
              </w:rPr>
              <w:t>Asset/system</w:t>
            </w:r>
          </w:p>
        </w:tc>
        <w:tc>
          <w:tcPr>
            <w:tcW w:type="dxa" w:w="1161"/>
            <w:vAlign w:val="center"/>
            <w:shd w:fill="1F4D78"/>
            <w:tcMar>
              <w:top w:w="80" w:type="dxa"/>
              <w:bottom w:w="80" w:type="dxa"/>
              <w:start w:w="120" w:type="dxa"/>
              <w:end w:w="120" w:type="dxa"/>
            </w:tcMar>
          </w:tcPr>
          <w:p>
            <w:pPr>
              <w:pStyle w:val="TableText"/>
              <w:jc w:val="left"/>
            </w:pPr>
            <w:r>
              <w:rPr>
                <w:rFonts w:ascii="Calibri" w:hAnsi="Calibri"/>
                <w:b/>
                <w:color w:val="FFFFFF"/>
                <w:sz w:val="17"/>
              </w:rPr>
              <w:t>Primary custodian</w:t>
            </w:r>
          </w:p>
        </w:tc>
        <w:tc>
          <w:tcPr>
            <w:tcW w:type="dxa" w:w="1298"/>
            <w:vAlign w:val="center"/>
            <w:shd w:fill="1F4D78"/>
            <w:tcMar>
              <w:top w:w="80" w:type="dxa"/>
              <w:bottom w:w="80" w:type="dxa"/>
              <w:start w:w="120" w:type="dxa"/>
              <w:end w:w="120" w:type="dxa"/>
            </w:tcMar>
          </w:tcPr>
          <w:p>
            <w:pPr>
              <w:pStyle w:val="TableText"/>
              <w:jc w:val="left"/>
            </w:pPr>
            <w:r>
              <w:rPr>
                <w:rFonts w:ascii="Calibri" w:hAnsi="Calibri"/>
                <w:b/>
                <w:color w:val="FFFFFF"/>
                <w:sz w:val="17"/>
              </w:rPr>
              <w:t>Emergency custodian</w:t>
            </w:r>
          </w:p>
        </w:tc>
        <w:tc>
          <w:tcPr>
            <w:tcW w:type="dxa" w:w="1981"/>
            <w:vAlign w:val="center"/>
            <w:shd w:fill="1F4D78"/>
            <w:tcMar>
              <w:top w:w="80" w:type="dxa"/>
              <w:bottom w:w="80" w:type="dxa"/>
              <w:start w:w="120" w:type="dxa"/>
              <w:end w:w="120" w:type="dxa"/>
            </w:tcMar>
          </w:tcPr>
          <w:p>
            <w:pPr>
              <w:pStyle w:val="TableText"/>
              <w:jc w:val="left"/>
            </w:pPr>
            <w:r>
              <w:rPr>
                <w:rFonts w:ascii="Calibri" w:hAnsi="Calibri"/>
                <w:b/>
                <w:color w:val="FFFFFF"/>
                <w:sz w:val="17"/>
              </w:rPr>
              <w:t>Recovery method location</w:t>
            </w:r>
          </w:p>
        </w:tc>
        <w:tc>
          <w:tcPr>
            <w:tcW w:type="dxa" w:w="1913"/>
            <w:vAlign w:val="center"/>
            <w:shd w:fill="1F4D78"/>
            <w:tcMar>
              <w:top w:w="80" w:type="dxa"/>
              <w:bottom w:w="80" w:type="dxa"/>
              <w:start w:w="120" w:type="dxa"/>
              <w:end w:w="120" w:type="dxa"/>
            </w:tcMar>
          </w:tcPr>
          <w:p>
            <w:pPr>
              <w:pStyle w:val="TableText"/>
              <w:jc w:val="left"/>
            </w:pPr>
            <w:r>
              <w:rPr>
                <w:rFonts w:ascii="Calibri" w:hAnsi="Calibri"/>
                <w:b/>
                <w:color w:val="FFFFFF"/>
                <w:sz w:val="17"/>
              </w:rPr>
              <w:t>Transition evidence required</w:t>
            </w:r>
          </w:p>
        </w:tc>
        <w:tc>
          <w:tcPr>
            <w:tcW w:type="dxa" w:w="752"/>
            <w:vAlign w:val="center"/>
            <w:shd w:fill="1F4D78"/>
            <w:tcMar>
              <w:top w:w="80" w:type="dxa"/>
              <w:bottom w:w="80" w:type="dxa"/>
              <w:start w:w="120" w:type="dxa"/>
              <w:end w:w="120" w:type="dxa"/>
            </w:tcMar>
          </w:tcPr>
          <w:p>
            <w:pPr>
              <w:pStyle w:val="TableText"/>
              <w:jc w:val="left"/>
            </w:pPr>
            <w:r>
              <w:rPr>
                <w:rFonts w:ascii="Calibri" w:hAnsi="Calibri"/>
                <w:b/>
                <w:color w:val="FFFFFF"/>
                <w:sz w:val="17"/>
              </w:rPr>
              <w:t>Last tested</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Trust original and closing binder</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[SUCCESSOR]</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[SECURE LOCATION]</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Trust certification</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Company minute book</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[MANAGER]</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[SUCCESSOR]</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[SECURE LOCATION]</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Manager certificate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Domain/registrar</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Password manager/hardware key</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Platform-specific</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GitHub org and repositories</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Org owner update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npm org and publish automation</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Org owner/token rotation</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Cloudflare</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Account admin update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Railway</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Account admin update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Bank/Mercury</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Fiduciary/manager documents</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Paddle</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Supplier/KYC update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Email/password manager</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Admin/recovery update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Signing/encryption/license keys</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Dual-control ceremony</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2255"/>
            <w:vAlign w:val="top"/>
            <w:tcMar>
              <w:top w:w="80" w:type="dxa"/>
              <w:bottom w:w="80" w:type="dxa"/>
              <w:start w:w="120" w:type="dxa"/>
              <w:end w:w="120" w:type="dxa"/>
            </w:tcMar>
          </w:tcPr>
          <w:p>
            <w:pPr>
              <w:pStyle w:val="TableText"/>
              <w:jc w:val="left"/>
            </w:pPr>
            <w:r>
              <w:rPr>
                <w:rFonts w:ascii="Calibri" w:hAnsi="Calibri"/>
                <w:b w:val="0"/>
                <w:sz w:val="18"/>
              </w:rPr>
              <w:t>Handoff escrow</w:t>
            </w:r>
          </w:p>
        </w:tc>
        <w:tc>
          <w:tcPr>
            <w:tcW w:type="dxa" w:w="1161"/>
            <w:vAlign w:val="top"/>
            <w:tcMar>
              <w:top w:w="80" w:type="dxa"/>
              <w:bottom w:w="80" w:type="dxa"/>
              <w:start w:w="120" w:type="dxa"/>
              <w:end w:w="120" w:type="dxa"/>
            </w:tcMar>
          </w:tcPr>
          <w:p>
            <w:pPr>
              <w:pStyle w:val="TableText"/>
              <w:jc w:val="left"/>
            </w:pPr>
            <w:r>
              <w:rPr>
                <w:rFonts w:ascii="Calibri" w:hAnsi="Calibri"/>
                <w:b w:val="0"/>
                <w:sz w:val="18"/>
              </w:rPr>
              <w:t>[ESCROW HOLDER]</w:t>
            </w:r>
          </w:p>
        </w:tc>
        <w:tc>
          <w:tcPr>
            <w:tcW w:type="dxa" w:w="1298"/>
            <w:vAlign w:val="top"/>
            <w:tcMar>
              <w:top w:w="80" w:type="dxa"/>
              <w:bottom w:w="80" w:type="dxa"/>
              <w:start w:w="120" w:type="dxa"/>
              <w:end w:w="120" w:type="dxa"/>
            </w:tcMar>
          </w:tcPr>
          <w:p>
            <w:pPr>
              <w:pStyle w:val="TableText"/>
              <w:jc w:val="left"/>
            </w:pPr>
            <w:r>
              <w:rPr>
                <w:rFonts w:ascii="Calibri" w:hAnsi="Calibri"/>
                <w:b w:val="0"/>
                <w:sz w:val="18"/>
              </w:rPr>
              <w:t>[BACKUP]</w:t>
            </w:r>
          </w:p>
        </w:tc>
        <w:tc>
          <w:tcPr>
            <w:tcW w:type="dxa" w:w="1981"/>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913"/>
            <w:vAlign w:val="top"/>
            <w:tcMar>
              <w:top w:w="80" w:type="dxa"/>
              <w:bottom w:w="80" w:type="dxa"/>
              <w:start w:w="120" w:type="dxa"/>
              <w:end w:w="120" w:type="dxa"/>
            </w:tcMar>
          </w:tcPr>
          <w:p>
            <w:pPr>
              <w:pStyle w:val="TableText"/>
              <w:jc w:val="left"/>
            </w:pPr>
            <w:r>
              <w:rPr>
                <w:rFonts w:ascii="Calibri" w:hAnsi="Calibri"/>
                <w:b w:val="0"/>
                <w:sz w:val="18"/>
              </w:rPr>
              <w:t>Escrow certificate</w:t>
            </w:r>
          </w:p>
        </w:tc>
        <w:tc>
          <w:tcPr>
            <w:tcW w:type="dxa" w:w="752"/>
            <w:vAlign w:val="top"/>
            <w:tcMar>
              <w:top w:w="80" w:type="dxa"/>
              <w:bottom w:w="80" w:type="dxa"/>
              <w:start w:w="120" w:type="dxa"/>
              <w:end w:w="120" w:type="dxa"/>
            </w:tcMar>
          </w:tcPr>
          <w:p>
            <w:pPr>
              <w:pStyle w:val="TableText"/>
              <w:jc w:val="left"/>
            </w:pPr>
            <w:r>
              <w:rPr>
                <w:rFonts w:ascii="Calibri" w:hAnsi="Calibri"/>
                <w:b w:val="0"/>
                <w:sz w:val="18"/>
              </w:rPr>
              <w:t>[DATE]</w:t>
            </w:r>
          </w:p>
        </w:tc>
      </w:tr>
    </w:tbl>
    <w:p>
      <w:pPr>
        <w:spacing w:after="40"/>
      </w:pPr>
    </w:p>
    <w:p>
      <w:pPr>
        <w:pStyle w:val="Heading1"/>
        <w:pageBreakBefore w:val="0"/>
      </w:pPr>
      <w:r>
        <w:rPr>
          <w:rFonts w:ascii="Calibri" w:hAnsi="Calibri"/>
          <w:b/>
        </w:rPr>
        <w:t>Disabled acceptance forms</w:t>
      </w:r>
    </w:p>
    <w:p>
      <w:pPr>
        <w:keepLines w:val="0"/>
        <w:widowControl/>
      </w:pPr>
      <w:r>
        <w:rPr>
          <w:rFonts w:ascii="Calibri" w:hAnsi="Calibri"/>
          <w:b/>
          <w:sz w:val="21"/>
        </w:rPr>
        <w:t>DO NOT SIGN THIS DRAFT. Final successor trustee acceptance, manager acceptance, Incapacity certificate, restoration certificate, emergency authority certificate, and platform notices must be separately prepared by counsel.</w:t>
      </w:r>
    </w:p>
    <w:p>
      <w:pPr>
        <w:pStyle w:val="Heading1"/>
        <w:pageBreakBefore/>
      </w:pPr>
      <w:r>
        <w:rPr>
          <w:rFonts w:ascii="Calibri" w:hAnsi="Calibri"/>
          <w:b/>
        </w:rPr>
        <w:t>Instrument 8 - Irrevocable Age-18 Escrow, Distribution, Admission, and Closing Documents</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Part A - Escrow agreement</w:t>
      </w:r>
    </w:p>
    <w:p>
      <w:pPr>
        <w:pStyle w:val="Heading2"/>
        <w:pageBreakBefore w:val="0"/>
      </w:pPr>
      <w:r>
        <w:rPr>
          <w:rFonts w:ascii="Calibri" w:hAnsi="Calibri"/>
          <w:b/>
        </w:rPr>
        <w:t>1. Escrow parties</w:t>
      </w:r>
    </w:p>
    <w:p>
      <w:pPr>
        <w:widowControl/>
        <w:numPr>
          <w:ilvl w:val="0"/>
          <w:numId w:val="47"/>
        </w:numPr>
      </w:pPr>
      <w:r>
        <w:rPr>
          <w:rFonts w:ascii="Calibri" w:hAnsi="Calibri"/>
          <w:b w:val="0"/>
          <w:sz w:val="20"/>
        </w:rPr>
        <w:t>Depositor in individual/member capacity: Lakshmi Delbel, as applicable before the trust closing.</w:t>
      </w:r>
    </w:p>
    <w:p>
      <w:pPr>
        <w:widowControl/>
        <w:numPr>
          <w:ilvl w:val="0"/>
          <w:numId w:val="47"/>
        </w:numPr>
      </w:pPr>
      <w:r>
        <w:rPr>
          <w:rFonts w:ascii="Calibri" w:hAnsi="Calibri"/>
          <w:b w:val="0"/>
          <w:sz w:val="20"/>
        </w:rPr>
        <w:t>Depositor in trustee/member capacity: the then-serving trustee of the Caisson Interest Trust.</w:t>
      </w:r>
    </w:p>
    <w:p>
      <w:pPr>
        <w:widowControl/>
        <w:numPr>
          <w:ilvl w:val="0"/>
          <w:numId w:val="47"/>
        </w:numPr>
      </w:pPr>
      <w:r>
        <w:rPr>
          <w:rFonts w:ascii="Calibri" w:hAnsi="Calibri"/>
          <w:b w:val="0"/>
          <w:sz w:val="20"/>
        </w:rPr>
        <w:t>Company: Caisson Software LLC.</w:t>
      </w:r>
    </w:p>
    <w:p>
      <w:pPr>
        <w:widowControl/>
        <w:numPr>
          <w:ilvl w:val="0"/>
          <w:numId w:val="47"/>
        </w:numPr>
      </w:pPr>
      <w:r>
        <w:rPr>
          <w:rFonts w:ascii="Calibri" w:hAnsi="Calibri"/>
          <w:b w:val="0"/>
          <w:sz w:val="20"/>
        </w:rPr>
        <w:t>Escrow holder: [COUNSEL: independent lawyer, trust company, or professional escrow agent].</w:t>
      </w:r>
    </w:p>
    <w:p>
      <w:pPr>
        <w:widowControl/>
        <w:numPr>
          <w:ilvl w:val="0"/>
          <w:numId w:val="47"/>
        </w:numPr>
      </w:pPr>
      <w:r>
        <w:rPr>
          <w:rFonts w:ascii="Calibri" w:hAnsi="Calibri"/>
          <w:b w:val="0"/>
          <w:sz w:val="20"/>
        </w:rPr>
        <w:t>Intended recipient: Liam Thadani.</w:t>
      </w:r>
    </w:p>
    <w:p>
      <w:pPr>
        <w:pStyle w:val="Heading2"/>
        <w:pageBreakBefore w:val="0"/>
      </w:pPr>
      <w:r>
        <w:rPr>
          <w:rFonts w:ascii="Calibri" w:hAnsi="Calibri"/>
          <w:b/>
        </w:rPr>
        <w:t>2. Irrevocable deposit</w:t>
      </w:r>
    </w:p>
    <w:p>
      <w:pPr>
        <w:keepLines w:val="0"/>
        <w:widowControl/>
      </w:pPr>
      <w:r>
        <w:rPr>
          <w:rFonts w:ascii="Calibri" w:hAnsi="Calibri"/>
          <w:b w:val="0"/>
          <w:sz w:val="21"/>
        </w:rPr>
        <w:t>The escrow is staged. Lakshmi, the trustee, the member, the manager, and the Company deposit their final documents after the present closing. Liam deposits his adult joinder only after counsel confirms that he has attained majority and contractual capacity. No settlor, trustee, manager, successor, estate representative, or other person may revoke, redirect, amend, retrieve, or condition the adult parties' validly deposited economic-transfer documents except to correct a ministerial defect in a manner that preserves the exact Handoff Time and economics.</w:t>
      </w:r>
    </w:p>
    <w:p>
      <w:pPr>
        <w:pStyle w:val="Heading2"/>
        <w:pageBreakBefore w:val="0"/>
      </w:pPr>
      <w:r>
        <w:rPr>
          <w:rFonts w:ascii="Calibri" w:hAnsi="Calibri"/>
          <w:b/>
        </w:rPr>
        <w:t>3. Release condition</w:t>
      </w:r>
    </w:p>
    <w:p>
      <w:pPr>
        <w:keepLines w:val="0"/>
        <w:widowControl/>
      </w:pPr>
      <w:r>
        <w:rPr>
          <w:rFonts w:ascii="Calibri" w:hAnsi="Calibri"/>
          <w:b w:val="0"/>
          <w:sz w:val="21"/>
        </w:rPr>
        <w:t>If Liam is living and a valid adult joinder is in escrow at the Handoff Time, the escrow holder releases the complete closing set at August 19, 2027 at 12:01 a.m. Eastern Time, without a discretionary approval, demand, meeting, or signature by Lakshmi at that time. If the adult joinder is absent, the escrow holder may release only those economic-distribution documents counsel confirms are independently effective.</w:t>
      </w:r>
    </w:p>
    <w:p>
      <w:pPr>
        <w:pStyle w:val="Heading2"/>
        <w:pageBreakBefore w:val="0"/>
      </w:pPr>
      <w:r>
        <w:rPr>
          <w:rFonts w:ascii="Calibri" w:hAnsi="Calibri"/>
          <w:b/>
        </w:rPr>
        <w:t>4. Adult joinder timing</w:t>
      </w:r>
    </w:p>
    <w:p>
      <w:pPr>
        <w:keepLines w:val="0"/>
        <w:widowControl/>
      </w:pPr>
      <w:r>
        <w:rPr>
          <w:rFonts w:ascii="Calibri" w:hAnsi="Calibri"/>
          <w:b w:val="0"/>
          <w:sz w:val="21"/>
        </w:rPr>
        <w:t>Liam shall not sign an adult confirmation or joinder until counsel confirms he has attained majority and contractual capacity under Georgia law. Age-computation cases in other statutory contexts do not by themselves establish contract capacity on August 18. Unless counsel gives a written opinion supporting an earlier time, Liam should sign no earlier than August 19, 2027. The fixed Handoff Time remains August 19, 2027 at 12:01 a.m. Eastern Time, and counsel must separately preserve the intended economic trigger to the maximum lawful extent.</w:t>
      </w:r>
    </w:p>
    <w:p>
      <w:pPr>
        <w:keepLines w:val="0"/>
        <w:widowControl/>
      </w:pPr>
      <w:r>
        <w:rPr>
          <w:rFonts w:ascii="Calibri" w:hAnsi="Calibri"/>
          <w:b w:val="0"/>
          <w:sz w:val="21"/>
        </w:rPr>
        <w:t>If Liam does not execute a required adult joinder before the Handoff Time, he shall not be deemed admitted as member or appointed manager without valid consent and acceptance. The serving trustee remains record member pending lawful admission, and the serving manager remains in office under a limited continuity mandate. Missing adult consent is not a ministerial defect, but it does not permit anyone to redirect Liam's beneficial property. The escrow holder and fiduciaries shall seek expedited instructions and perform every economic-transfer step lawfully available.</w:t>
      </w:r>
    </w:p>
    <w:p>
      <w:pPr>
        <w:pStyle w:val="Heading2"/>
        <w:pageBreakBefore w:val="0"/>
      </w:pPr>
      <w:r>
        <w:rPr>
          <w:rFonts w:ascii="Calibri" w:hAnsi="Calibri"/>
          <w:b/>
        </w:rPr>
        <w:t>5. Pre-Handoff death</w:t>
      </w:r>
    </w:p>
    <w:p>
      <w:pPr>
        <w:keepLines w:val="0"/>
        <w:widowControl/>
      </w:pPr>
      <w:r>
        <w:rPr>
          <w:rFonts w:ascii="Calibri" w:hAnsi="Calibri"/>
          <w:b w:val="0"/>
          <w:sz w:val="21"/>
        </w:rPr>
        <w:t>If the escrow holder receives reliable evidence that Liam died before the Handoff Time, the Liam closing packet shall not be released. The escrow holder shall return or cancel it as counsel directs, and the Trust's pre-Handoff death disposition controls.</w:t>
      </w:r>
    </w:p>
    <w:p>
      <w:pPr>
        <w:pStyle w:val="Heading2"/>
        <w:pageBreakBefore w:val="0"/>
      </w:pPr>
      <w:r>
        <w:rPr>
          <w:rFonts w:ascii="Calibri" w:hAnsi="Calibri"/>
          <w:b/>
        </w:rPr>
        <w:t>6. Sale or substitution before Handoff Time</w:t>
      </w:r>
    </w:p>
    <w:p>
      <w:pPr>
        <w:keepLines w:val="0"/>
        <w:widowControl/>
      </w:pPr>
      <w:r>
        <w:rPr>
          <w:rFonts w:ascii="Calibri" w:hAnsi="Calibri"/>
          <w:b w:val="0"/>
          <w:sz w:val="21"/>
        </w:rPr>
        <w:t>If the Company Interest is sold or replaced before the Handoff Time, the escrow automatically applies to all substitute Trust Property. Counsel shall prepare substitute assignments, account-transfer forms, and claims schedules. The absence of a particular form does not permit retention or diversion.</w:t>
      </w:r>
    </w:p>
    <w:p>
      <w:pPr>
        <w:pStyle w:val="Heading2"/>
        <w:pageBreakBefore w:val="0"/>
      </w:pPr>
      <w:r>
        <w:rPr>
          <w:rFonts w:ascii="Calibri" w:hAnsi="Calibri"/>
          <w:b/>
        </w:rPr>
        <w:t>7. Escrowed documents</w:t>
      </w:r>
    </w:p>
    <w:p>
      <w:pPr>
        <w:keepLines w:val="0"/>
        <w:widowControl/>
      </w:pPr>
      <w:r>
        <w:rPr>
          <w:rFonts w:ascii="Calibri" w:hAnsi="Calibri"/>
          <w:b w:val="0"/>
          <w:sz w:val="21"/>
        </w:rPr>
        <w:t>The final escrow package should include:</w:t>
      </w:r>
    </w:p>
    <w:p>
      <w:pPr>
        <w:widowControl/>
        <w:numPr>
          <w:ilvl w:val="0"/>
          <w:numId w:val="48"/>
        </w:numPr>
      </w:pPr>
      <w:r>
        <w:rPr>
          <w:rFonts w:ascii="Calibri" w:hAnsi="Calibri"/>
          <w:b w:val="0"/>
          <w:sz w:val="20"/>
        </w:rPr>
        <w:t>trustee assignment and mandatory distribution of the Company Interest or substitute property;</w:t>
      </w:r>
    </w:p>
    <w:p>
      <w:pPr>
        <w:widowControl/>
        <w:numPr>
          <w:ilvl w:val="0"/>
          <w:numId w:val="48"/>
        </w:numPr>
      </w:pPr>
      <w:r>
        <w:rPr>
          <w:rFonts w:ascii="Calibri" w:hAnsi="Calibri"/>
          <w:b w:val="0"/>
          <w:sz w:val="20"/>
        </w:rPr>
        <w:t>irrevocable advance member consent to Liam's admission;</w:t>
      </w:r>
    </w:p>
    <w:p>
      <w:pPr>
        <w:widowControl/>
        <w:numPr>
          <w:ilvl w:val="0"/>
          <w:numId w:val="48"/>
        </w:numPr>
      </w:pPr>
      <w:r>
        <w:rPr>
          <w:rFonts w:ascii="Calibri" w:hAnsi="Calibri"/>
          <w:b w:val="0"/>
          <w:sz w:val="20"/>
        </w:rPr>
        <w:t>Liam's adult consent, acceptance, and joinder;</w:t>
      </w:r>
    </w:p>
    <w:p>
      <w:pPr>
        <w:widowControl/>
        <w:numPr>
          <w:ilvl w:val="0"/>
          <w:numId w:val="48"/>
        </w:numPr>
      </w:pPr>
      <w:r>
        <w:rPr>
          <w:rFonts w:ascii="Calibri" w:hAnsi="Calibri"/>
          <w:b w:val="0"/>
          <w:sz w:val="20"/>
        </w:rPr>
        <w:t>the then-serving manager's conditional cessation and Liam's appointment as manager, effective only with Liam's valid adult acceptance;</w:t>
      </w:r>
    </w:p>
    <w:p>
      <w:pPr>
        <w:widowControl/>
        <w:numPr>
          <w:ilvl w:val="0"/>
          <w:numId w:val="48"/>
        </w:numPr>
      </w:pPr>
      <w:r>
        <w:rPr>
          <w:rFonts w:ascii="Calibri" w:hAnsi="Calibri"/>
          <w:b w:val="0"/>
          <w:sz w:val="20"/>
        </w:rPr>
        <w:t>updated member and manager ledger and certificates;</w:t>
      </w:r>
    </w:p>
    <w:p>
      <w:pPr>
        <w:widowControl/>
        <w:numPr>
          <w:ilvl w:val="0"/>
          <w:numId w:val="48"/>
        </w:numPr>
      </w:pPr>
      <w:r>
        <w:rPr>
          <w:rFonts w:ascii="Calibri" w:hAnsi="Calibri"/>
          <w:b w:val="0"/>
          <w:sz w:val="20"/>
        </w:rPr>
        <w:t>final Trust accounting and reserve statement;</w:t>
      </w:r>
    </w:p>
    <w:p>
      <w:pPr>
        <w:widowControl/>
        <w:numPr>
          <w:ilvl w:val="0"/>
          <w:numId w:val="48"/>
        </w:numPr>
      </w:pPr>
      <w:r>
        <w:rPr>
          <w:rFonts w:ascii="Calibri" w:hAnsi="Calibri"/>
          <w:b w:val="0"/>
          <w:sz w:val="20"/>
        </w:rPr>
        <w:t>bank, GitHub, npm, domain, Cloudflare, Railway, email, and other platform update packets, plus Paddle or Mercury materials only if an application or account then exists;</w:t>
      </w:r>
    </w:p>
    <w:p>
      <w:pPr>
        <w:widowControl/>
        <w:numPr>
          <w:ilvl w:val="0"/>
          <w:numId w:val="48"/>
        </w:numPr>
      </w:pPr>
      <w:r>
        <w:rPr>
          <w:rFonts w:ascii="Calibri" w:hAnsi="Calibri"/>
          <w:b w:val="0"/>
          <w:sz w:val="20"/>
        </w:rPr>
        <w:t>IP and employment adult confirmations from Instruments 9 and 10;</w:t>
      </w:r>
    </w:p>
    <w:p>
      <w:pPr>
        <w:widowControl/>
        <w:numPr>
          <w:ilvl w:val="0"/>
          <w:numId w:val="48"/>
        </w:numPr>
      </w:pPr>
      <w:r>
        <w:rPr>
          <w:rFonts w:ascii="Calibri" w:hAnsi="Calibri"/>
          <w:b w:val="0"/>
          <w:sz w:val="20"/>
        </w:rPr>
        <w:t>tax and valuation instructions; and</w:t>
      </w:r>
    </w:p>
    <w:p>
      <w:pPr>
        <w:widowControl/>
        <w:numPr>
          <w:ilvl w:val="0"/>
          <w:numId w:val="48"/>
        </w:numPr>
      </w:pPr>
      <w:r>
        <w:rPr>
          <w:rFonts w:ascii="Calibri" w:hAnsi="Calibri"/>
          <w:b w:val="0"/>
          <w:sz w:val="20"/>
        </w:rPr>
        <w:t>closing certificate and evidence-retention checklist.</w:t>
      </w:r>
    </w:p>
    <w:p>
      <w:pPr>
        <w:pStyle w:val="Heading1"/>
        <w:pageBreakBefore w:val="0"/>
      </w:pPr>
      <w:r>
        <w:rPr>
          <w:rFonts w:ascii="Calibri" w:hAnsi="Calibri"/>
          <w:b/>
        </w:rPr>
        <w:t>Part B - Draft trustee assignment and mandatory distribution</w:t>
      </w:r>
    </w:p>
    <w:p>
      <w:pPr>
        <w:pStyle w:val="Heading2"/>
        <w:pageBreakBefore w:val="0"/>
      </w:pPr>
      <w:r>
        <w:rPr>
          <w:rFonts w:ascii="Calibri" w:hAnsi="Calibri"/>
          <w:b/>
        </w:rPr>
        <w:t>8. Assignment at Handoff Time</w:t>
      </w:r>
    </w:p>
    <w:p>
      <w:pPr>
        <w:keepLines w:val="0"/>
        <w:widowControl/>
      </w:pPr>
      <w:r>
        <w:rPr>
          <w:rFonts w:ascii="Calibri" w:hAnsi="Calibri"/>
          <w:b w:val="0"/>
          <w:sz w:val="21"/>
        </w:rPr>
        <w:t>Effective automatically at the Handoff Time, if Liam is living, the then-serving trustee assigns, transfers, conveys, and distributes to Liam all beneficial, economic, and other assignable Trust Property, including the economic rights in 100 percent of the Company Interest. Governance, voting, consent, information, and member rights become Liam's only upon his valid admission.</w:t>
      </w:r>
    </w:p>
    <w:p>
      <w:pPr>
        <w:keepLines w:val="0"/>
        <w:widowControl/>
      </w:pPr>
      <w:r>
        <w:rPr>
          <w:rFonts w:ascii="Calibri" w:hAnsi="Calibri"/>
          <w:b w:val="0"/>
          <w:sz w:val="21"/>
        </w:rPr>
        <w:t>This mandatory distribution implements the Trust's dispositive terms. It does not state whether the Handoff is a new gift, a distribution of property already beneficially owned, a taxable disposition, or a basis-adjustment event. The final tax memorandum controls reporting.</w:t>
      </w:r>
    </w:p>
    <w:p>
      <w:pPr>
        <w:pStyle w:val="Heading2"/>
        <w:pageBreakBefore w:val="0"/>
      </w:pPr>
      <w:r>
        <w:rPr>
          <w:rFonts w:ascii="Calibri" w:hAnsi="Calibri"/>
          <w:b/>
        </w:rPr>
        <w:t>9. Substitute and later-received property</w:t>
      </w:r>
    </w:p>
    <w:p>
      <w:pPr>
        <w:keepLines w:val="0"/>
        <w:widowControl/>
      </w:pPr>
      <w:r>
        <w:rPr>
          <w:rFonts w:ascii="Calibri" w:hAnsi="Calibri"/>
          <w:b w:val="0"/>
          <w:sz w:val="21"/>
        </w:rPr>
        <w:t>The assignment includes every substitute asset and right described by the Trust, whether then payable or received later. The trustee holds any nontransferable or later-received item solely as bare custodian for Liam and shall transfer it promptly without discretionary conditions.</w:t>
      </w:r>
    </w:p>
    <w:p>
      <w:pPr>
        <w:pStyle w:val="Heading2"/>
        <w:pageBreakBefore w:val="0"/>
      </w:pPr>
      <w:r>
        <w:rPr>
          <w:rFonts w:ascii="Calibri" w:hAnsi="Calibri"/>
          <w:b/>
        </w:rPr>
        <w:t>10. No warranty beyond fiduciary title</w:t>
      </w:r>
    </w:p>
    <w:p>
      <w:pPr>
        <w:keepLines w:val="0"/>
        <w:widowControl/>
      </w:pPr>
      <w:r>
        <w:rPr>
          <w:rFonts w:ascii="Calibri" w:hAnsi="Calibri"/>
          <w:b w:val="0"/>
          <w:sz w:val="21"/>
        </w:rPr>
        <w:t>The trustee warrants only that the trustee has not knowingly made a conflicting disposition or lien except as scheduled. The trustee makes no business-value, tax, IP-title, or platform-approval warranty.</w:t>
      </w:r>
    </w:p>
    <w:p>
      <w:pPr>
        <w:pStyle w:val="Heading1"/>
        <w:pageBreakBefore w:val="0"/>
      </w:pPr>
      <w:r>
        <w:rPr>
          <w:rFonts w:ascii="Calibri" w:hAnsi="Calibri"/>
          <w:b/>
        </w:rPr>
        <w:t>Part C - Draft advance member consent and Liam admission</w:t>
      </w:r>
    </w:p>
    <w:p>
      <w:pPr>
        <w:pStyle w:val="Heading2"/>
        <w:pageBreakBefore w:val="0"/>
      </w:pPr>
      <w:r>
        <w:rPr>
          <w:rFonts w:ascii="Calibri" w:hAnsi="Calibri"/>
          <w:b/>
        </w:rPr>
        <w:t>11. Advance consent</w:t>
      </w:r>
    </w:p>
    <w:p>
      <w:pPr>
        <w:keepLines w:val="0"/>
        <w:widowControl/>
      </w:pPr>
      <w:r>
        <w:rPr>
          <w:rFonts w:ascii="Calibri" w:hAnsi="Calibri"/>
          <w:b w:val="0"/>
          <w:sz w:val="21"/>
        </w:rPr>
        <w:t>The trustee as sole member irrevocably consents in advance to Liam's admission as the sole member effective at the Handoff Time if he is living and has delivered the adult consent required by law. No new member vote or discretionary act is required.</w:t>
      </w:r>
    </w:p>
    <w:p>
      <w:pPr>
        <w:pStyle w:val="Heading2"/>
        <w:pageBreakBefore w:val="0"/>
      </w:pPr>
      <w:r>
        <w:rPr>
          <w:rFonts w:ascii="Calibri" w:hAnsi="Calibri"/>
          <w:b/>
        </w:rPr>
        <w:t>12. Liam adult consent</w:t>
      </w:r>
    </w:p>
    <w:p>
      <w:pPr>
        <w:keepLines w:val="0"/>
        <w:widowControl/>
      </w:pPr>
      <w:r>
        <w:rPr>
          <w:rFonts w:ascii="Calibri" w:hAnsi="Calibri"/>
          <w:b w:val="0"/>
          <w:sz w:val="21"/>
        </w:rPr>
        <w:t>In the adult joinder, Liam shall:</w:t>
      </w:r>
    </w:p>
    <w:p>
      <w:pPr>
        <w:widowControl/>
        <w:numPr>
          <w:ilvl w:val="0"/>
          <w:numId w:val="49"/>
        </w:numPr>
      </w:pPr>
      <w:r>
        <w:rPr>
          <w:rFonts w:ascii="Calibri" w:hAnsi="Calibri"/>
          <w:b w:val="0"/>
          <w:sz w:val="20"/>
        </w:rPr>
        <w:t>consent to admission as sole member;</w:t>
      </w:r>
    </w:p>
    <w:p>
      <w:pPr>
        <w:widowControl/>
        <w:numPr>
          <w:ilvl w:val="0"/>
          <w:numId w:val="49"/>
        </w:numPr>
      </w:pPr>
      <w:r>
        <w:rPr>
          <w:rFonts w:ascii="Calibri" w:hAnsi="Calibri"/>
          <w:b w:val="0"/>
          <w:sz w:val="20"/>
        </w:rPr>
        <w:t>accept the distributed Company Interest;</w:t>
      </w:r>
    </w:p>
    <w:p>
      <w:pPr>
        <w:widowControl/>
        <w:numPr>
          <w:ilvl w:val="0"/>
          <w:numId w:val="49"/>
        </w:numPr>
      </w:pPr>
      <w:r>
        <w:rPr>
          <w:rFonts w:ascii="Calibri" w:hAnsi="Calibri"/>
          <w:b w:val="0"/>
          <w:sz w:val="20"/>
        </w:rPr>
        <w:t>agree to be bound by the operating agreement as amended by the Handoff closing;</w:t>
      </w:r>
    </w:p>
    <w:p>
      <w:pPr>
        <w:widowControl/>
        <w:numPr>
          <w:ilvl w:val="0"/>
          <w:numId w:val="49"/>
        </w:numPr>
      </w:pPr>
      <w:r>
        <w:rPr>
          <w:rFonts w:ascii="Calibri" w:hAnsi="Calibri"/>
          <w:b w:val="0"/>
          <w:sz w:val="20"/>
        </w:rPr>
        <w:t>accept Company liabilities only to the extent imposed on a member by law and the operating agreement, without assuming Company debts personally;</w:t>
      </w:r>
    </w:p>
    <w:p>
      <w:pPr>
        <w:widowControl/>
        <w:numPr>
          <w:ilvl w:val="0"/>
          <w:numId w:val="49"/>
        </w:numPr>
      </w:pPr>
      <w:r>
        <w:rPr>
          <w:rFonts w:ascii="Calibri" w:hAnsi="Calibri"/>
          <w:b w:val="0"/>
          <w:sz w:val="20"/>
        </w:rPr>
        <w:t>confirm his manager appointment; and</w:t>
      </w:r>
    </w:p>
    <w:p>
      <w:pPr>
        <w:widowControl/>
        <w:numPr>
          <w:ilvl w:val="0"/>
          <w:numId w:val="49"/>
        </w:numPr>
      </w:pPr>
      <w:r>
        <w:rPr>
          <w:rFonts w:ascii="Calibri" w:hAnsi="Calibri"/>
          <w:b w:val="0"/>
          <w:sz w:val="20"/>
        </w:rPr>
        <w:t>provide lawful tax, bank, platform, and contact information.</w:t>
      </w:r>
    </w:p>
    <w:p>
      <w:pPr>
        <w:pStyle w:val="Heading2"/>
        <w:pageBreakBefore w:val="0"/>
      </w:pPr>
      <w:r>
        <w:rPr>
          <w:rFonts w:ascii="Calibri" w:hAnsi="Calibri"/>
          <w:b/>
        </w:rPr>
        <w:t>13. Conditional ledger update and no-gap record</w:t>
      </w:r>
    </w:p>
    <w:p>
      <w:pPr>
        <w:keepLines w:val="0"/>
        <w:widowControl/>
      </w:pPr>
      <w:r>
        <w:rPr>
          <w:rFonts w:ascii="Calibri" w:hAnsi="Calibri"/>
          <w:b w:val="0"/>
          <w:sz w:val="21"/>
        </w:rPr>
        <w:t>If Liam's valid adult consent has been delivered and all admission conditions are satisfied, the ledger changes at the Handoff Time to Liam as 100 percent individual sole member and removes the trustee. If admission is not then effective, Liam is recorded as the 100 percent economic assignee and the trustee remains the record member solely pending admission, without authority to alter Liam's economics.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300"/>
        <w:gridCol w:w="2500"/>
        <w:gridCol w:w="2760"/>
        <w:gridCol w:w="2800"/>
      </w:tblGrid>
      <w:tr>
        <w:trPr>
          <w:cantSplit w:val="true"/>
          <w:tblHeader w:val="true"/>
        </w:trPr>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Condition at Handoff Time</w:t>
            </w:r>
          </w:p>
        </w:tc>
        <w:tc>
          <w:tcPr>
            <w:tcW w:type="dxa" w:w="2500"/>
            <w:vAlign w:val="center"/>
            <w:shd w:fill="1F4D78"/>
            <w:tcMar>
              <w:top w:w="80" w:type="dxa"/>
              <w:bottom w:w="80" w:type="dxa"/>
              <w:start w:w="120" w:type="dxa"/>
              <w:end w:w="120" w:type="dxa"/>
            </w:tcMar>
          </w:tcPr>
          <w:p>
            <w:pPr>
              <w:pStyle w:val="TableText"/>
              <w:jc w:val="left"/>
            </w:pPr>
            <w:r>
              <w:rPr>
                <w:rFonts w:ascii="Calibri" w:hAnsi="Calibri"/>
                <w:b/>
                <w:color w:val="FFFFFF"/>
                <w:sz w:val="17"/>
              </w:rPr>
              <w:t>Economic holder</w:t>
            </w:r>
          </w:p>
        </w:tc>
        <w:tc>
          <w:tcPr>
            <w:tcW w:type="dxa" w:w="2760"/>
            <w:vAlign w:val="center"/>
            <w:shd w:fill="1F4D78"/>
            <w:tcMar>
              <w:top w:w="80" w:type="dxa"/>
              <w:bottom w:w="80" w:type="dxa"/>
              <w:start w:w="120" w:type="dxa"/>
              <w:end w:w="120" w:type="dxa"/>
            </w:tcMar>
          </w:tcPr>
          <w:p>
            <w:pPr>
              <w:pStyle w:val="TableText"/>
              <w:jc w:val="left"/>
            </w:pPr>
            <w:r>
              <w:rPr>
                <w:rFonts w:ascii="Calibri" w:hAnsi="Calibri"/>
                <w:b/>
                <w:color w:val="FFFFFF"/>
                <w:sz w:val="17"/>
              </w:rPr>
              <w:t>Record member</w:t>
            </w:r>
          </w:p>
        </w:tc>
        <w:tc>
          <w:tcPr>
            <w:tcW w:type="dxa" w:w="2800"/>
            <w:vAlign w:val="center"/>
            <w:shd w:fill="1F4D78"/>
            <w:tcMar>
              <w:top w:w="80" w:type="dxa"/>
              <w:bottom w:w="80" w:type="dxa"/>
              <w:start w:w="120" w:type="dxa"/>
              <w:end w:w="120" w:type="dxa"/>
            </w:tcMar>
          </w:tcPr>
          <w:p>
            <w:pPr>
              <w:pStyle w:val="TableText"/>
              <w:jc w:val="left"/>
            </w:pPr>
            <w:r>
              <w:rPr>
                <w:rFonts w:ascii="Calibri" w:hAnsi="Calibri"/>
                <w:b/>
                <w:color w:val="FFFFFF"/>
                <w:sz w:val="17"/>
              </w:rPr>
              <w:t>Manager</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Valid adult consent, admission, and manager acceptance complete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Liam Thadani, 100%</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Liam Thadani, individual sole member</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Liam Thadani</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Adult consent or admission incomplete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Liam Thadani, 100% economic assignee</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Then-serving trustee solely pending lawful admission</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Then-serving manager under limited continuity mandate</w:t>
            </w:r>
          </w:p>
        </w:tc>
      </w:tr>
    </w:tbl>
    <w:p>
      <w:pPr>
        <w:spacing w:after="40"/>
      </w:pPr>
    </w:p>
    <w:p>
      <w:pPr>
        <w:pStyle w:val="Heading1"/>
        <w:pageBreakBefore w:val="0"/>
      </w:pPr>
      <w:r>
        <w:rPr>
          <w:rFonts w:ascii="Calibri" w:hAnsi="Calibri"/>
          <w:b/>
        </w:rPr>
        <w:t>Part D - Draft manager transition</w:t>
      </w:r>
    </w:p>
    <w:p>
      <w:pPr>
        <w:pStyle w:val="Heading2"/>
        <w:pageBreakBefore w:val="0"/>
      </w:pPr>
      <w:r>
        <w:rPr>
          <w:rFonts w:ascii="Calibri" w:hAnsi="Calibri"/>
          <w:b/>
        </w:rPr>
        <w:t>14. Cessation of Lakshmi's manager service</w:t>
      </w:r>
    </w:p>
    <w:p>
      <w:pPr>
        <w:keepLines w:val="0"/>
        <w:widowControl/>
      </w:pPr>
      <w:r>
        <w:rPr>
          <w:rFonts w:ascii="Calibri" w:hAnsi="Calibri"/>
          <w:b w:val="0"/>
          <w:sz w:val="21"/>
        </w:rPr>
        <w:t>Lakshmi's or the then-serving manager's appointment ends at the Handoff Time only when Liam's valid adult manager acceptance becomes effective. If that condition is not satisfied, the serving manager continues under a limited continuity mandate until Liam accepts or a lawful replacement is appointed. No continuing manager may alter Liam's transferred economics, make a non-preservation disposition, or postpone a valid admission.</w:t>
      </w:r>
    </w:p>
    <w:p>
      <w:pPr>
        <w:pStyle w:val="Heading2"/>
        <w:pageBreakBefore w:val="0"/>
      </w:pPr>
      <w:r>
        <w:rPr>
          <w:rFonts w:ascii="Calibri" w:hAnsi="Calibri"/>
          <w:b/>
        </w:rPr>
        <w:t>15. Appointment of Liam</w:t>
      </w:r>
    </w:p>
    <w:p>
      <w:pPr>
        <w:keepLines w:val="0"/>
        <w:widowControl/>
      </w:pPr>
      <w:r>
        <w:rPr>
          <w:rFonts w:ascii="Calibri" w:hAnsi="Calibri"/>
          <w:b w:val="0"/>
          <w:sz w:val="21"/>
        </w:rPr>
        <w:t>Liam is appointed manager effective at the Handoff Time only if his valid adult acceptance and any legally required articles or annual-registration update are complete. He then holds full management authority under the operating agreement.</w:t>
      </w:r>
    </w:p>
    <w:p>
      <w:pPr>
        <w:pStyle w:val="Heading2"/>
        <w:pageBreakBefore w:val="0"/>
      </w:pPr>
      <w:r>
        <w:rPr>
          <w:rFonts w:ascii="Calibri" w:hAnsi="Calibri"/>
          <w:b/>
        </w:rPr>
        <w:t>16. Transition support</w:t>
      </w:r>
    </w:p>
    <w:p>
      <w:pPr>
        <w:keepLines w:val="0"/>
        <w:widowControl/>
      </w:pPr>
      <w:r>
        <w:rPr>
          <w:rFonts w:ascii="Calibri" w:hAnsi="Calibri"/>
          <w:b w:val="0"/>
          <w:sz w:val="21"/>
        </w:rPr>
        <w:t>For [COUNSEL/FAMILY: period], Lakshmi and Vik shall reasonably assist with account, vendor, tax, and record transitions as nonexclusive advisors, without authority to bind the Company unless Liam separately delegates it.</w:t>
      </w:r>
    </w:p>
    <w:p>
      <w:pPr>
        <w:pStyle w:val="Heading1"/>
        <w:pageBreakBefore w:val="0"/>
      </w:pPr>
      <w:r>
        <w:rPr>
          <w:rFonts w:ascii="Calibri" w:hAnsi="Calibri"/>
          <w:b/>
        </w:rPr>
        <w:t>Part E - Draft closing certificate</w:t>
      </w:r>
    </w:p>
    <w:p>
      <w:pPr>
        <w:keepLines w:val="0"/>
        <w:widowControl/>
      </w:pPr>
      <w:r>
        <w:rPr>
          <w:rFonts w:ascii="Calibri" w:hAnsi="Calibri"/>
          <w:b w:val="0"/>
          <w:sz w:val="21"/>
        </w:rPr>
        <w:t>The escrow holder shall certify:</w:t>
      </w:r>
    </w:p>
    <w:p>
      <w:pPr>
        <w:widowControl/>
        <w:numPr>
          <w:ilvl w:val="0"/>
          <w:numId w:val="50"/>
        </w:numPr>
      </w:pPr>
      <w:r>
        <w:rPr>
          <w:rFonts w:ascii="Calibri" w:hAnsi="Calibri"/>
          <w:b w:val="0"/>
          <w:sz w:val="20"/>
        </w:rPr>
        <w:t>the date and exact Eastern Time of release;</w:t>
      </w:r>
    </w:p>
    <w:p>
      <w:pPr>
        <w:widowControl/>
        <w:numPr>
          <w:ilvl w:val="0"/>
          <w:numId w:val="50"/>
        </w:numPr>
      </w:pPr>
      <w:r>
        <w:rPr>
          <w:rFonts w:ascii="Calibri" w:hAnsi="Calibri"/>
          <w:b w:val="0"/>
          <w:sz w:val="20"/>
        </w:rPr>
        <w:t>the evidence that Liam was living and legally able to accept;</w:t>
      </w:r>
    </w:p>
    <w:p>
      <w:pPr>
        <w:widowControl/>
        <w:numPr>
          <w:ilvl w:val="0"/>
          <w:numId w:val="50"/>
        </w:numPr>
      </w:pPr>
      <w:r>
        <w:rPr>
          <w:rFonts w:ascii="Calibri" w:hAnsi="Calibri"/>
          <w:b w:val="0"/>
          <w:sz w:val="20"/>
        </w:rPr>
        <w:t>each released document and its hash or control number;</w:t>
      </w:r>
    </w:p>
    <w:p>
      <w:pPr>
        <w:widowControl/>
        <w:numPr>
          <w:ilvl w:val="0"/>
          <w:numId w:val="50"/>
        </w:numPr>
      </w:pPr>
      <w:r>
        <w:rPr>
          <w:rFonts w:ascii="Calibri" w:hAnsi="Calibri"/>
          <w:b w:val="0"/>
          <w:sz w:val="20"/>
        </w:rPr>
        <w:t>the updated member and manager ledger;</w:t>
      </w:r>
    </w:p>
    <w:p>
      <w:pPr>
        <w:widowControl/>
        <w:numPr>
          <w:ilvl w:val="0"/>
          <w:numId w:val="50"/>
        </w:numPr>
      </w:pPr>
      <w:r>
        <w:rPr>
          <w:rFonts w:ascii="Calibri" w:hAnsi="Calibri"/>
          <w:b w:val="0"/>
          <w:sz w:val="20"/>
        </w:rPr>
        <w:t>Trust Property distributed and any reserve retained, limited to liabilities and taxes legally attributable to the Trust or expressly authorized by the final tax memorandum;</w:t>
      </w:r>
    </w:p>
    <w:p>
      <w:pPr>
        <w:widowControl/>
        <w:numPr>
          <w:ilvl w:val="0"/>
          <w:numId w:val="50"/>
        </w:numPr>
      </w:pPr>
      <w:r>
        <w:rPr>
          <w:rFonts w:ascii="Calibri" w:hAnsi="Calibri"/>
          <w:b w:val="0"/>
          <w:sz w:val="20"/>
        </w:rPr>
        <w:t>each platform update submitted and pending;</w:t>
      </w:r>
    </w:p>
    <w:p>
      <w:pPr>
        <w:widowControl/>
        <w:numPr>
          <w:ilvl w:val="0"/>
          <w:numId w:val="50"/>
        </w:numPr>
      </w:pPr>
      <w:r>
        <w:rPr>
          <w:rFonts w:ascii="Calibri" w:hAnsi="Calibri"/>
          <w:b w:val="0"/>
          <w:sz w:val="20"/>
        </w:rPr>
        <w:t>delivery of final Trust and Company accountings; and</w:t>
      </w:r>
    </w:p>
    <w:p>
      <w:pPr>
        <w:widowControl/>
        <w:numPr>
          <w:ilvl w:val="0"/>
          <w:numId w:val="50"/>
        </w:numPr>
      </w:pPr>
      <w:r>
        <w:rPr>
          <w:rFonts w:ascii="Calibri" w:hAnsi="Calibri"/>
          <w:b w:val="0"/>
          <w:sz w:val="20"/>
        </w:rPr>
        <w:t>any defect requiring ministerial cure.</w:t>
      </w:r>
    </w:p>
    <w:p>
      <w:pPr>
        <w:pStyle w:val="Heading1"/>
        <w:pageBreakBefore w:val="0"/>
      </w:pPr>
      <w:r>
        <w:rPr>
          <w:rFonts w:ascii="Calibri" w:hAnsi="Calibri"/>
          <w:b/>
        </w:rPr>
        <w:t>Part F - Closing checklist</w:t>
      </w:r>
    </w:p>
    <w:p>
      <w:pPr>
        <w:pStyle w:val="Heading2"/>
        <w:pageBreakBefore w:val="0"/>
      </w:pPr>
      <w:r>
        <w:rPr>
          <w:rFonts w:ascii="Calibri" w:hAnsi="Calibri"/>
          <w:b/>
        </w:rPr>
        <w:t>60-90 days before Handoff Time</w:t>
      </w:r>
    </w:p>
    <w:p>
      <w:pPr>
        <w:widowControl/>
        <w:numPr>
          <w:ilvl w:val="0"/>
          <w:numId w:val="51"/>
        </w:numPr>
      </w:pPr>
      <w:r>
        <w:rPr>
          <w:rFonts w:ascii="Calibri" w:hAnsi="Calibri"/>
          <w:b w:val="0"/>
          <w:sz w:val="20"/>
        </w:rPr>
        <w:t>Confirm majority-date legal analysis and adult-signing window.</w:t>
      </w:r>
    </w:p>
    <w:p>
      <w:pPr>
        <w:widowControl/>
        <w:numPr>
          <w:ilvl w:val="0"/>
          <w:numId w:val="51"/>
        </w:numPr>
      </w:pPr>
      <w:r>
        <w:rPr>
          <w:rFonts w:ascii="Calibri" w:hAnsi="Calibri"/>
          <w:b w:val="0"/>
          <w:sz w:val="20"/>
        </w:rPr>
        <w:t>Confirm Liam's identity, address, tax forms, bank and platform eligibility.</w:t>
      </w:r>
    </w:p>
    <w:p>
      <w:pPr>
        <w:widowControl/>
        <w:numPr>
          <w:ilvl w:val="0"/>
          <w:numId w:val="51"/>
        </w:numPr>
      </w:pPr>
      <w:r>
        <w:rPr>
          <w:rFonts w:ascii="Calibri" w:hAnsi="Calibri"/>
          <w:b w:val="0"/>
          <w:sz w:val="20"/>
        </w:rPr>
        <w:t>Review whether Company Interest still exists or substitute property must be scheduled.</w:t>
      </w:r>
    </w:p>
    <w:p>
      <w:pPr>
        <w:widowControl/>
        <w:numPr>
          <w:ilvl w:val="0"/>
          <w:numId w:val="51"/>
        </w:numPr>
      </w:pPr>
      <w:r>
        <w:rPr>
          <w:rFonts w:ascii="Calibri" w:hAnsi="Calibri"/>
          <w:b w:val="0"/>
          <w:sz w:val="20"/>
        </w:rPr>
        <w:t>Determine whether the Handoff creates a separately reportable transfer or merely completes the initial Trust disposition; update valuation only if required, confirm carryover or other basis treatment, and prepare final Trust, owner, and Company tax-reporting instructions.</w:t>
      </w:r>
    </w:p>
    <w:p>
      <w:pPr>
        <w:widowControl/>
        <w:numPr>
          <w:ilvl w:val="0"/>
          <w:numId w:val="51"/>
        </w:numPr>
      </w:pPr>
      <w:r>
        <w:rPr>
          <w:rFonts w:ascii="Calibri" w:hAnsi="Calibri"/>
          <w:b w:val="0"/>
          <w:sz w:val="20"/>
        </w:rPr>
        <w:t>Prepare platform-specific ownership/controller forms.</w:t>
      </w:r>
    </w:p>
    <w:p>
      <w:pPr>
        <w:widowControl/>
        <w:numPr>
          <w:ilvl w:val="0"/>
          <w:numId w:val="51"/>
        </w:numPr>
      </w:pPr>
      <w:r>
        <w:rPr>
          <w:rFonts w:ascii="Calibri" w:hAnsi="Calibri"/>
          <w:b w:val="0"/>
          <w:sz w:val="20"/>
        </w:rPr>
        <w:t>Verify escrow originals, hashes, and backup custodian.</w:t>
      </w:r>
    </w:p>
    <w:p>
      <w:pPr>
        <w:widowControl/>
        <w:numPr>
          <w:ilvl w:val="0"/>
          <w:numId w:val="51"/>
        </w:numPr>
      </w:pPr>
      <w:r>
        <w:rPr>
          <w:rFonts w:ascii="Calibri" w:hAnsi="Calibri"/>
          <w:b w:val="0"/>
          <w:sz w:val="20"/>
        </w:rPr>
        <w:t>Test domain, repository, email, password-manager, key, bank, and merchant recovery.</w:t>
      </w:r>
    </w:p>
    <w:p>
      <w:pPr>
        <w:pStyle w:val="Heading2"/>
        <w:pageBreakBefore w:val="0"/>
      </w:pPr>
      <w:r>
        <w:rPr>
          <w:rFonts w:ascii="Calibri" w:hAnsi="Calibri"/>
          <w:b/>
        </w:rPr>
        <w:t>On or after counsel-confirmed majority and before Handoff Time</w:t>
      </w:r>
    </w:p>
    <w:p>
      <w:pPr>
        <w:widowControl/>
        <w:numPr>
          <w:ilvl w:val="0"/>
          <w:numId w:val="52"/>
        </w:numPr>
      </w:pPr>
      <w:r>
        <w:rPr>
          <w:rFonts w:ascii="Calibri" w:hAnsi="Calibri"/>
          <w:b w:val="0"/>
          <w:sz w:val="20"/>
        </w:rPr>
        <w:t>Liam receives independent advice [COUNSEL: if required].</w:t>
      </w:r>
    </w:p>
    <w:p>
      <w:pPr>
        <w:widowControl/>
        <w:numPr>
          <w:ilvl w:val="0"/>
          <w:numId w:val="52"/>
        </w:numPr>
      </w:pPr>
      <w:r>
        <w:rPr>
          <w:rFonts w:ascii="Calibri" w:hAnsi="Calibri"/>
          <w:b w:val="0"/>
          <w:sz w:val="20"/>
        </w:rPr>
        <w:t>Liam signs adult admission, IP confirmation, and employment confirmation.</w:t>
      </w:r>
    </w:p>
    <w:p>
      <w:pPr>
        <w:widowControl/>
        <w:numPr>
          <w:ilvl w:val="0"/>
          <w:numId w:val="52"/>
        </w:numPr>
      </w:pPr>
      <w:r>
        <w:rPr>
          <w:rFonts w:ascii="Calibri" w:hAnsi="Calibri"/>
          <w:b w:val="0"/>
          <w:sz w:val="20"/>
        </w:rPr>
        <w:t>Escrow holder validates signatures and holds documents without early release.</w:t>
      </w:r>
    </w:p>
    <w:p>
      <w:pPr>
        <w:widowControl/>
        <w:numPr>
          <w:ilvl w:val="0"/>
          <w:numId w:val="52"/>
        </w:numPr>
      </w:pPr>
      <w:r>
        <w:rPr>
          <w:rFonts w:ascii="Calibri" w:hAnsi="Calibri"/>
          <w:b w:val="0"/>
          <w:sz w:val="20"/>
        </w:rPr>
        <w:t>Fiduciaries sign any ministerial cure before the deadline.</w:t>
      </w:r>
    </w:p>
    <w:p>
      <w:pPr>
        <w:pStyle w:val="Heading2"/>
        <w:pageBreakBefore w:val="0"/>
      </w:pPr>
      <w:r>
        <w:rPr>
          <w:rFonts w:ascii="Calibri" w:hAnsi="Calibri"/>
          <w:b/>
        </w:rPr>
        <w:t>At Handoff Time</w:t>
      </w:r>
    </w:p>
    <w:p>
      <w:pPr>
        <w:widowControl/>
        <w:numPr>
          <w:ilvl w:val="0"/>
          <w:numId w:val="53"/>
        </w:numPr>
      </w:pPr>
      <w:r>
        <w:rPr>
          <w:rFonts w:ascii="Calibri" w:hAnsi="Calibri"/>
          <w:b w:val="0"/>
          <w:sz w:val="20"/>
        </w:rPr>
        <w:t>Escrow releases the economic-distribution documents and, if valid adult consent is in escrow, the complete admission and manager set.</w:t>
      </w:r>
    </w:p>
    <w:p>
      <w:pPr>
        <w:widowControl/>
        <w:numPr>
          <w:ilvl w:val="0"/>
          <w:numId w:val="53"/>
        </w:numPr>
      </w:pPr>
      <w:r>
        <w:rPr>
          <w:rFonts w:ascii="Calibri" w:hAnsi="Calibri"/>
          <w:b w:val="0"/>
          <w:sz w:val="20"/>
        </w:rPr>
        <w:t>If valid adult consent and admission are complete, the ledger changes to Liam as sole member and manager; otherwise the economic transfer and temporary continuity record are entered separately.</w:t>
      </w:r>
    </w:p>
    <w:p>
      <w:pPr>
        <w:widowControl/>
        <w:numPr>
          <w:ilvl w:val="0"/>
          <w:numId w:val="53"/>
        </w:numPr>
      </w:pPr>
      <w:r>
        <w:rPr>
          <w:rFonts w:ascii="Calibri" w:hAnsi="Calibri"/>
          <w:b w:val="0"/>
          <w:sz w:val="20"/>
        </w:rPr>
        <w:t>Trust distributes Company Interest or substitute property.</w:t>
      </w:r>
    </w:p>
    <w:p>
      <w:pPr>
        <w:widowControl/>
        <w:numPr>
          <w:ilvl w:val="0"/>
          <w:numId w:val="53"/>
        </w:numPr>
      </w:pPr>
      <w:r>
        <w:rPr>
          <w:rFonts w:ascii="Calibri" w:hAnsi="Calibri"/>
          <w:b w:val="0"/>
          <w:sz w:val="20"/>
        </w:rPr>
        <w:t>Administrator access and signing authority changes under platform rules.</w:t>
      </w:r>
    </w:p>
    <w:p>
      <w:pPr>
        <w:widowControl/>
        <w:numPr>
          <w:ilvl w:val="0"/>
          <w:numId w:val="53"/>
        </w:numPr>
      </w:pPr>
      <w:r>
        <w:rPr>
          <w:rFonts w:ascii="Calibri" w:hAnsi="Calibri"/>
          <w:b w:val="0"/>
          <w:sz w:val="20"/>
        </w:rPr>
        <w:t>No credential is shared; individual roles are transferred or newly provisioned.</w:t>
      </w:r>
    </w:p>
    <w:p>
      <w:pPr>
        <w:pStyle w:val="Heading2"/>
        <w:pageBreakBefore w:val="0"/>
      </w:pPr>
      <w:r>
        <w:rPr>
          <w:rFonts w:ascii="Calibri" w:hAnsi="Calibri"/>
          <w:b/>
        </w:rPr>
        <w:t>Within 1-10 business days after Handoff Time</w:t>
      </w:r>
    </w:p>
    <w:p>
      <w:pPr>
        <w:widowControl/>
        <w:numPr>
          <w:ilvl w:val="0"/>
          <w:numId w:val="54"/>
        </w:numPr>
      </w:pPr>
      <w:r>
        <w:rPr>
          <w:rFonts w:ascii="Calibri" w:hAnsi="Calibri"/>
          <w:b w:val="0"/>
          <w:sz w:val="20"/>
        </w:rPr>
        <w:t>File Georgia and tax updates required by counsel/CPA.</w:t>
      </w:r>
    </w:p>
    <w:p>
      <w:pPr>
        <w:widowControl/>
        <w:numPr>
          <w:ilvl w:val="0"/>
          <w:numId w:val="54"/>
        </w:numPr>
      </w:pPr>
      <w:r>
        <w:rPr>
          <w:rFonts w:ascii="Calibri" w:hAnsi="Calibri"/>
          <w:b w:val="0"/>
          <w:sz w:val="20"/>
        </w:rPr>
        <w:t>Update each account that actually exists, including GitHub, npm, registrar, Cloudflare, Railway, insurance, payroll, contracts, and any later-approved Mercury or Paddle account.</w:t>
      </w:r>
    </w:p>
    <w:p>
      <w:pPr>
        <w:widowControl/>
        <w:numPr>
          <w:ilvl w:val="0"/>
          <w:numId w:val="54"/>
        </w:numPr>
      </w:pPr>
      <w:r>
        <w:rPr>
          <w:rFonts w:ascii="Calibri" w:hAnsi="Calibri"/>
          <w:b w:val="0"/>
          <w:sz w:val="20"/>
        </w:rPr>
        <w:t>Rotate high-privilege credentials and keys under dual control.</w:t>
      </w:r>
    </w:p>
    <w:p>
      <w:pPr>
        <w:widowControl/>
        <w:numPr>
          <w:ilvl w:val="0"/>
          <w:numId w:val="54"/>
        </w:numPr>
      </w:pPr>
      <w:r>
        <w:rPr>
          <w:rFonts w:ascii="Calibri" w:hAnsi="Calibri"/>
          <w:b w:val="0"/>
          <w:sz w:val="20"/>
        </w:rPr>
        <w:t>Issue final Trust accounting and close the Trust after any reserve limited to liabilities and taxes legally attributable to the Trust or expressly authorized by the final tax memorandum.</w:t>
      </w:r>
    </w:p>
    <w:p>
      <w:pPr>
        <w:widowControl/>
        <w:numPr>
          <w:ilvl w:val="0"/>
          <w:numId w:val="54"/>
        </w:numPr>
      </w:pPr>
      <w:r>
        <w:rPr>
          <w:rFonts w:ascii="Calibri" w:hAnsi="Calibri"/>
          <w:b w:val="0"/>
          <w:sz w:val="20"/>
        </w:rPr>
        <w:t>Archive final executed set and delivery evidence.</w:t>
      </w:r>
    </w:p>
    <w:p>
      <w:pPr>
        <w:pStyle w:val="Heading1"/>
        <w:pageBreakBefore w:val="0"/>
      </w:pPr>
      <w:r>
        <w:rPr>
          <w:rFonts w:ascii="Calibri" w:hAnsi="Calibri"/>
          <w:b/>
        </w:rPr>
        <w:t>Part G - Enforcement and fallback</w:t>
      </w:r>
    </w:p>
    <w:p>
      <w:pPr>
        <w:keepLines w:val="0"/>
        <w:widowControl/>
      </w:pPr>
      <w:r>
        <w:rPr>
          <w:rFonts w:ascii="Calibri" w:hAnsi="Calibri"/>
          <w:b w:val="0"/>
          <w:sz w:val="21"/>
        </w:rPr>
        <w:t>The parties intend the funded Trust's mandatory distribution duties and each validly executed consent and covenant to be enforceable to the fullest extent available under applicable law. Counsel shall specify declaratory, injunctive, accounting, transfer, and other remedies. Nothing in this draft guarantees specific performance of a gratuitous promise or permits a court or escrow holder to dispense with Liam's legally required adult member or manager consent. [COUNSEL: add fee-shifting, venue, arbitration exclusion, bond waiver, and emergency-court provisions after conflicts review.]</w:t>
      </w:r>
    </w:p>
    <w:p>
      <w:pPr>
        <w:pStyle w:val="Heading1"/>
        <w:pageBreakBefore w:val="0"/>
      </w:pPr>
      <w:r>
        <w:rPr>
          <w:rFonts w:ascii="Calibri" w:hAnsi="Calibri"/>
          <w:b/>
        </w:rPr>
        <w:t>Disabled execution block</w:t>
      </w:r>
    </w:p>
    <w:p>
      <w:pPr>
        <w:keepLines w:val="0"/>
        <w:widowControl/>
      </w:pPr>
      <w:r>
        <w:rPr>
          <w:rFonts w:ascii="Calibri" w:hAnsi="Calibri"/>
          <w:b/>
          <w:sz w:val="21"/>
        </w:rPr>
        <w:t>DO NOT SIGN OR DEPOSIT THIS DRAFT. Counsel must prepare separate final escrow instructions, assignments, consents, joinders, certificates, platform forms, and execution formalities.</w:t>
      </w:r>
    </w:p>
    <w:p>
      <w:pPr>
        <w:pStyle w:val="Heading1"/>
        <w:pageBreakBefore/>
      </w:pPr>
      <w:r>
        <w:rPr>
          <w:rFonts w:ascii="Calibri" w:hAnsi="Calibri"/>
          <w:b/>
        </w:rPr>
        <w:t>Instrument 9 - Historical IP Assignment, Exclusive License Backstop, Asset and Provenance Schedules, and Adult Confirmation</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Part A - Parties, purpose, and capacity limits</w:t>
      </w:r>
    </w:p>
    <w:p>
      <w:pPr>
        <w:pStyle w:val="Heading2"/>
        <w:pageBreakBefore w:val="0"/>
      </w:pPr>
      <w:r>
        <w:rPr>
          <w:rFonts w:ascii="Calibri" w:hAnsi="Calibri"/>
          <w:b/>
        </w:rPr>
        <w:t>1. Parties</w:t>
      </w:r>
    </w:p>
    <w:p>
      <w:pPr>
        <w:widowControl/>
        <w:numPr>
          <w:ilvl w:val="0"/>
          <w:numId w:val="55"/>
        </w:numPr>
      </w:pPr>
      <w:r>
        <w:rPr>
          <w:rFonts w:ascii="Calibri" w:hAnsi="Calibri"/>
          <w:b/>
          <w:sz w:val="20"/>
        </w:rPr>
        <w:t>Assignor:</w:t>
      </w:r>
      <w:r>
        <w:rPr>
          <w:rFonts w:ascii="Calibri" w:hAnsi="Calibri"/>
          <w:b w:val="0"/>
          <w:sz w:val="20"/>
        </w:rPr>
        <w:t xml:space="preserve"> Liam Thadani, a minor, acting only to the extent counsel determines he may lawfully act.</w:t>
      </w:r>
    </w:p>
    <w:p>
      <w:pPr>
        <w:widowControl/>
        <w:numPr>
          <w:ilvl w:val="0"/>
          <w:numId w:val="55"/>
        </w:numPr>
      </w:pPr>
      <w:r>
        <w:rPr>
          <w:rFonts w:ascii="Calibri" w:hAnsi="Calibri"/>
          <w:b/>
          <w:sz w:val="20"/>
        </w:rPr>
        <w:t>Company/Assignee:</w:t>
      </w:r>
      <w:r>
        <w:rPr>
          <w:rFonts w:ascii="Calibri" w:hAnsi="Calibri"/>
          <w:b w:val="0"/>
          <w:sz w:val="20"/>
        </w:rPr>
        <w:t xml:space="preserve"> Caisson Software LLC.</w:t>
      </w:r>
    </w:p>
    <w:p>
      <w:pPr>
        <w:widowControl/>
        <w:numPr>
          <w:ilvl w:val="0"/>
          <w:numId w:val="55"/>
        </w:numPr>
      </w:pPr>
      <w:r>
        <w:rPr>
          <w:rFonts w:ascii="Calibri" w:hAnsi="Calibri"/>
          <w:b/>
          <w:sz w:val="20"/>
        </w:rPr>
        <w:t>Parent and Company manager:</w:t>
      </w:r>
      <w:r>
        <w:rPr>
          <w:rFonts w:ascii="Calibri" w:hAnsi="Calibri"/>
          <w:b w:val="0"/>
          <w:sz w:val="20"/>
        </w:rPr>
        <w:t xml:space="preserve"> Lakshmi Delbel, joining in the limited capacities stated below.</w:t>
      </w:r>
    </w:p>
    <w:p>
      <w:pPr>
        <w:widowControl/>
        <w:numPr>
          <w:ilvl w:val="0"/>
          <w:numId w:val="55"/>
        </w:numPr>
      </w:pPr>
      <w:r>
        <w:rPr>
          <w:rFonts w:ascii="Calibri" w:hAnsi="Calibri"/>
          <w:b/>
          <w:sz w:val="20"/>
        </w:rPr>
        <w:t>Independent representative:</w:t>
      </w:r>
      <w:r>
        <w:rPr>
          <w:rFonts w:ascii="Calibri" w:hAnsi="Calibri"/>
          <w:b w:val="0"/>
          <w:sz w:val="20"/>
        </w:rPr>
        <w:t xml:space="preserve"> [COUNSEL: Liam's separate lawyer, guardian ad litem, conservator, court-approved representative, or other required person].</w:t>
      </w:r>
    </w:p>
    <w:p>
      <w:pPr>
        <w:pStyle w:val="Heading2"/>
        <w:pageBreakBefore w:val="0"/>
      </w:pPr>
      <w:r>
        <w:rPr>
          <w:rFonts w:ascii="Calibri" w:hAnsi="Calibri"/>
          <w:b/>
        </w:rPr>
        <w:t>2. Purpose</w:t>
      </w:r>
    </w:p>
    <w:p>
      <w:pPr>
        <w:keepLines w:val="0"/>
        <w:widowControl/>
      </w:pPr>
      <w:r>
        <w:rPr>
          <w:rFonts w:ascii="Calibri" w:hAnsi="Calibri"/>
          <w:b w:val="0"/>
          <w:sz w:val="21"/>
        </w:rPr>
        <w:t>The parties intend to establish the strongest lawful, documented chain of title to historical Caisson work while candidly preserving the risks created by minority, pre-formation authorship, predecessor repositories, AI-assisted creation, account ownership, public statements, stale copyright notices, and possible third-party materials.</w:t>
      </w:r>
    </w:p>
    <w:p>
      <w:pPr>
        <w:pStyle w:val="Heading2"/>
        <w:pageBreakBefore w:val="0"/>
      </w:pPr>
      <w:r>
        <w:rPr>
          <w:rFonts w:ascii="Calibri" w:hAnsi="Calibri"/>
          <w:b/>
        </w:rPr>
        <w:t>3. No retroactive employment fiction</w:t>
      </w:r>
    </w:p>
    <w:p>
      <w:pPr>
        <w:keepLines w:val="0"/>
        <w:widowControl/>
      </w:pPr>
      <w:r>
        <w:rPr>
          <w:rFonts w:ascii="Calibri" w:hAnsi="Calibri"/>
          <w:b w:val="0"/>
          <w:sz w:val="21"/>
        </w:rPr>
        <w:t>This instrument does not state that Liam was a Company employee before a real employment relationship began, does not retroactively create work-made-for-hire status, and does not relabel parental transfers as wages. Historical work is addressed by assignment and license, not a fictional employment recital.</w:t>
      </w:r>
    </w:p>
    <w:p>
      <w:pPr>
        <w:pStyle w:val="Heading2"/>
        <w:pageBreakBefore w:val="0"/>
      </w:pPr>
      <w:r>
        <w:rPr>
          <w:rFonts w:ascii="Calibri" w:hAnsi="Calibri"/>
          <w:b/>
        </w:rPr>
        <w:t>4. Minor-capacity and conflict acknowledgement</w:t>
      </w:r>
    </w:p>
    <w:p>
      <w:pPr>
        <w:keepLines w:val="0"/>
        <w:widowControl/>
      </w:pPr>
      <w:r>
        <w:rPr>
          <w:rFonts w:ascii="Calibri" w:hAnsi="Calibri"/>
          <w:b w:val="0"/>
          <w:sz w:val="21"/>
        </w:rPr>
        <w:t>The parties acknowledge:</w:t>
      </w:r>
    </w:p>
    <w:p>
      <w:pPr>
        <w:widowControl/>
        <w:numPr>
          <w:ilvl w:val="0"/>
          <w:numId w:val="56"/>
        </w:numPr>
      </w:pPr>
      <w:r>
        <w:rPr>
          <w:rFonts w:ascii="Calibri" w:hAnsi="Calibri"/>
          <w:b w:val="0"/>
          <w:sz w:val="20"/>
        </w:rPr>
        <w:t>Liam is a minor on the draft date;</w:t>
      </w:r>
    </w:p>
    <w:p>
      <w:pPr>
        <w:widowControl/>
        <w:numPr>
          <w:ilvl w:val="0"/>
          <w:numId w:val="56"/>
        </w:numPr>
      </w:pPr>
      <w:r>
        <w:rPr>
          <w:rFonts w:ascii="Calibri" w:hAnsi="Calibri"/>
          <w:b w:val="0"/>
          <w:sz w:val="20"/>
        </w:rPr>
        <w:t>a minor's contract or property transfer may be voidable or otherwise subject to Georgia-law limits;</w:t>
      </w:r>
    </w:p>
    <w:p>
      <w:pPr>
        <w:widowControl/>
        <w:numPr>
          <w:ilvl w:val="0"/>
          <w:numId w:val="56"/>
        </w:numPr>
      </w:pPr>
      <w:r>
        <w:rPr>
          <w:rFonts w:ascii="Calibri" w:hAnsi="Calibri"/>
          <w:b w:val="0"/>
          <w:sz w:val="20"/>
        </w:rPr>
        <w:t>a parent's signature alone does not necessarily transfer the minor's property;</w:t>
      </w:r>
    </w:p>
    <w:p>
      <w:pPr>
        <w:widowControl/>
        <w:numPr>
          <w:ilvl w:val="0"/>
          <w:numId w:val="56"/>
        </w:numPr>
      </w:pPr>
      <w:r>
        <w:rPr>
          <w:rFonts w:ascii="Calibri" w:hAnsi="Calibri"/>
          <w:b w:val="0"/>
          <w:sz w:val="20"/>
        </w:rPr>
        <w:t>after the proposed coordinated closing, Lakshmi would hold legal title to the Company interest solely as trustee while also serving as Company manager, and Liam would hold the intended beneficial interest; those overlapping roles create a conflict in approving a transfer of Liam's property to the Company;</w:t>
      </w:r>
    </w:p>
    <w:p>
      <w:pPr>
        <w:widowControl/>
        <w:numPr>
          <w:ilvl w:val="0"/>
          <w:numId w:val="56"/>
        </w:numPr>
      </w:pPr>
      <w:r>
        <w:rPr>
          <w:rFonts w:ascii="Calibri" w:hAnsi="Calibri"/>
          <w:b w:val="0"/>
          <w:sz w:val="20"/>
        </w:rPr>
        <w:t>the value of the IP and a potentially large transaction may require independent advice, a conservator, guardian ad litem, court approval, or another protective process; and</w:t>
      </w:r>
    </w:p>
    <w:p>
      <w:pPr>
        <w:widowControl/>
        <w:numPr>
          <w:ilvl w:val="0"/>
          <w:numId w:val="56"/>
        </w:numPr>
      </w:pPr>
      <w:r>
        <w:rPr>
          <w:rFonts w:ascii="Calibri" w:hAnsi="Calibri"/>
          <w:b w:val="0"/>
          <w:sz w:val="20"/>
        </w:rPr>
        <w:t>an adult confirmation and residual assignment must be completed after counsel confirms Liam has attained majority.</w:t>
      </w:r>
    </w:p>
    <w:p>
      <w:pPr>
        <w:keepLines w:val="0"/>
        <w:widowControl/>
      </w:pPr>
      <w:r>
        <w:rPr>
          <w:rFonts w:ascii="Calibri" w:hAnsi="Calibri"/>
          <w:b w:val="0"/>
          <w:sz w:val="21"/>
        </w:rPr>
        <w:t>Final counsel shall decide whether this instrument may be executed now, must be court-approved, should be replaced by an exclusive license pending majority, or should use another structure.</w:t>
      </w:r>
    </w:p>
    <w:p>
      <w:pPr>
        <w:pStyle w:val="Heading1"/>
        <w:pageBreakBefore w:val="0"/>
      </w:pPr>
      <w:r>
        <w:rPr>
          <w:rFonts w:ascii="Calibri" w:hAnsi="Calibri"/>
          <w:b/>
        </w:rPr>
        <w:t>Part B - Defined historical assets</w:t>
      </w:r>
    </w:p>
    <w:p>
      <w:pPr>
        <w:pStyle w:val="Heading2"/>
        <w:pageBreakBefore w:val="0"/>
      </w:pPr>
      <w:r>
        <w:rPr>
          <w:rFonts w:ascii="Calibri" w:hAnsi="Calibri"/>
          <w:b/>
        </w:rPr>
        <w:t>5. Assigned Assets</w:t>
      </w:r>
    </w:p>
    <w:p>
      <w:pPr>
        <w:keepLines w:val="0"/>
        <w:widowControl/>
      </w:pPr>
      <w:r>
        <w:rPr>
          <w:rFonts w:ascii="Calibri" w:hAnsi="Calibri"/>
          <w:b w:val="0"/>
          <w:sz w:val="21"/>
        </w:rPr>
        <w:t>"Assigned Assets" means the rights actually owned or controlled by Liam in the items specifically identified on the final schedules, including as applicable:</w:t>
      </w:r>
    </w:p>
    <w:p>
      <w:pPr>
        <w:widowControl/>
        <w:numPr>
          <w:ilvl w:val="0"/>
          <w:numId w:val="57"/>
        </w:numPr>
      </w:pPr>
      <w:r>
        <w:rPr>
          <w:rFonts w:ascii="Calibri" w:hAnsi="Calibri"/>
          <w:b w:val="0"/>
          <w:sz w:val="20"/>
        </w:rPr>
        <w:t>source code, object code, scripts, schemas, migrations, tests, fixtures, examples, templates, generators, registries, services, applications, infrastructure code, and build systems;</w:t>
      </w:r>
    </w:p>
    <w:p>
      <w:pPr>
        <w:widowControl/>
        <w:numPr>
          <w:ilvl w:val="0"/>
          <w:numId w:val="57"/>
        </w:numPr>
      </w:pPr>
      <w:r>
        <w:rPr>
          <w:rFonts w:ascii="Calibri" w:hAnsi="Calibri"/>
          <w:b w:val="0"/>
          <w:sz w:val="20"/>
        </w:rPr>
        <w:t>documentation, specifications, ADRs, diagrams, control catalogs, crosswalks, website copy, product copy, pricing copy, policies, support materials, and training content;</w:t>
      </w:r>
    </w:p>
    <w:p>
      <w:pPr>
        <w:widowControl/>
        <w:numPr>
          <w:ilvl w:val="0"/>
          <w:numId w:val="57"/>
        </w:numPr>
      </w:pPr>
      <w:r>
        <w:rPr>
          <w:rFonts w:ascii="Calibri" w:hAnsi="Calibri"/>
          <w:b w:val="0"/>
          <w:sz w:val="20"/>
        </w:rPr>
        <w:t>designs, code-native visual components, icons, logos, glyphs, wordmarks, animations, videos, source files, and brand materials;</w:t>
      </w:r>
    </w:p>
    <w:p>
      <w:pPr>
        <w:widowControl/>
        <w:numPr>
          <w:ilvl w:val="0"/>
          <w:numId w:val="57"/>
        </w:numPr>
      </w:pPr>
      <w:r>
        <w:rPr>
          <w:rFonts w:ascii="Calibri" w:hAnsi="Calibri"/>
          <w:b w:val="0"/>
          <w:sz w:val="20"/>
        </w:rPr>
        <w:t>inventions, discoveries, improvements, methods, processes, architectures, algorithms, protocols, know-how, trade secrets, and patentable subject matter;</w:t>
      </w:r>
    </w:p>
    <w:p>
      <w:pPr>
        <w:widowControl/>
        <w:numPr>
          <w:ilvl w:val="0"/>
          <w:numId w:val="57"/>
        </w:numPr>
      </w:pPr>
      <w:r>
        <w:rPr>
          <w:rFonts w:ascii="Calibri" w:hAnsi="Calibri"/>
          <w:b w:val="0"/>
          <w:sz w:val="20"/>
        </w:rPr>
        <w:t>copyrights, patent rights, trade-secret rights, database rights, design rights, and other intellectual-property rights in the foregoing;</w:t>
      </w:r>
    </w:p>
    <w:p>
      <w:pPr>
        <w:widowControl/>
        <w:numPr>
          <w:ilvl w:val="0"/>
          <w:numId w:val="57"/>
        </w:numPr>
      </w:pPr>
      <w:r>
        <w:rPr>
          <w:rFonts w:ascii="Calibri" w:hAnsi="Calibri"/>
          <w:b w:val="0"/>
          <w:sz w:val="20"/>
        </w:rPr>
        <w:t>rights in Caisson names, package names, domain names, social handles, repository names, community identities, and goodwill, to the extent assignable and actually owned by Liam;</w:t>
      </w:r>
    </w:p>
    <w:p>
      <w:pPr>
        <w:widowControl/>
        <w:numPr>
          <w:ilvl w:val="0"/>
          <w:numId w:val="57"/>
        </w:numPr>
      </w:pPr>
      <w:r>
        <w:rPr>
          <w:rFonts w:ascii="Calibri" w:hAnsi="Calibri"/>
          <w:b w:val="0"/>
          <w:sz w:val="20"/>
        </w:rPr>
        <w:t>claims and causes of action for past, present, and future infringement or misappropriation, subject to counsel's choice of express language; and</w:t>
      </w:r>
    </w:p>
    <w:p>
      <w:pPr>
        <w:widowControl/>
        <w:numPr>
          <w:ilvl w:val="0"/>
          <w:numId w:val="57"/>
        </w:numPr>
      </w:pPr>
      <w:r>
        <w:rPr>
          <w:rFonts w:ascii="Calibri" w:hAnsi="Calibri"/>
          <w:b w:val="0"/>
          <w:sz w:val="20"/>
        </w:rPr>
        <w:t>registrations, applications, renewals, extensions, and priority rights.</w:t>
      </w:r>
    </w:p>
    <w:p>
      <w:pPr>
        <w:keepLines w:val="0"/>
        <w:widowControl/>
      </w:pPr>
      <w:r>
        <w:rPr>
          <w:rFonts w:ascii="Calibri" w:hAnsi="Calibri"/>
          <w:b w:val="0"/>
          <w:sz w:val="21"/>
        </w:rPr>
        <w:t>Assigned Assets do not include third-party code, open-source dependencies, platform property, AI-provider property, customer data, school/employer material, or predecessor material not owned by Liam. Those items must be identified separately.</w:t>
      </w:r>
    </w:p>
    <w:p>
      <w:pPr>
        <w:pStyle w:val="Heading2"/>
        <w:pageBreakBefore w:val="0"/>
      </w:pPr>
      <w:r>
        <w:rPr>
          <w:rFonts w:ascii="Calibri" w:hAnsi="Calibri"/>
          <w:b/>
        </w:rPr>
        <w:t>6. Effective cutoff</w:t>
      </w:r>
    </w:p>
    <w:p>
      <w:pPr>
        <w:keepLines w:val="0"/>
        <w:widowControl/>
      </w:pPr>
      <w:r>
        <w:rPr>
          <w:rFonts w:ascii="Calibri" w:hAnsi="Calibri"/>
          <w:b w:val="0"/>
          <w:sz w:val="21"/>
        </w:rPr>
        <w:t>Historical work created through [COUNSEL: date immediately before bona fide employment starts] is governed by this instrument. Work created within the scope of employment after that time is governed by Instrument 10. The schedules shall distinguish:</w:t>
      </w:r>
    </w:p>
    <w:p>
      <w:pPr>
        <w:widowControl/>
        <w:numPr>
          <w:ilvl w:val="0"/>
          <w:numId w:val="58"/>
        </w:numPr>
      </w:pPr>
      <w:r>
        <w:rPr>
          <w:rFonts w:ascii="Calibri" w:hAnsi="Calibri"/>
          <w:b w:val="0"/>
          <w:sz w:val="20"/>
        </w:rPr>
        <w:t>pre-Caisson predecessor work;</w:t>
      </w:r>
    </w:p>
    <w:p>
      <w:pPr>
        <w:widowControl/>
        <w:numPr>
          <w:ilvl w:val="0"/>
          <w:numId w:val="58"/>
        </w:numPr>
      </w:pPr>
      <w:r>
        <w:rPr>
          <w:rFonts w:ascii="Calibri" w:hAnsi="Calibri"/>
          <w:b w:val="0"/>
          <w:sz w:val="20"/>
        </w:rPr>
        <w:t>Caisson work before Company formation;</w:t>
      </w:r>
    </w:p>
    <w:p>
      <w:pPr>
        <w:widowControl/>
        <w:numPr>
          <w:ilvl w:val="0"/>
          <w:numId w:val="58"/>
        </w:numPr>
      </w:pPr>
      <w:r>
        <w:rPr>
          <w:rFonts w:ascii="Calibri" w:hAnsi="Calibri"/>
          <w:b w:val="0"/>
          <w:sz w:val="20"/>
        </w:rPr>
        <w:t>Caisson work after formation but before a signed employment agreement; and</w:t>
      </w:r>
    </w:p>
    <w:p>
      <w:pPr>
        <w:widowControl/>
        <w:numPr>
          <w:ilvl w:val="0"/>
          <w:numId w:val="58"/>
        </w:numPr>
      </w:pPr>
      <w:r>
        <w:rPr>
          <w:rFonts w:ascii="Calibri" w:hAnsi="Calibri"/>
          <w:b w:val="0"/>
          <w:sz w:val="20"/>
        </w:rPr>
        <w:t>later work under Instrument 10.</w:t>
      </w:r>
    </w:p>
    <w:p>
      <w:pPr>
        <w:pStyle w:val="Heading1"/>
        <w:pageBreakBefore w:val="0"/>
      </w:pPr>
      <w:r>
        <w:rPr>
          <w:rFonts w:ascii="Calibri" w:hAnsi="Calibri"/>
          <w:b/>
        </w:rPr>
        <w:t>Part C - Present assignment</w:t>
      </w:r>
    </w:p>
    <w:p>
      <w:pPr>
        <w:pStyle w:val="Heading2"/>
        <w:pageBreakBefore w:val="0"/>
      </w:pPr>
      <w:r>
        <w:rPr>
          <w:rFonts w:ascii="Calibri" w:hAnsi="Calibri"/>
          <w:b/>
        </w:rPr>
        <w:t>7. Assignment language</w:t>
      </w:r>
    </w:p>
    <w:p>
      <w:pPr>
        <w:keepLines w:val="0"/>
        <w:widowControl/>
      </w:pPr>
      <w:r>
        <w:rPr>
          <w:rFonts w:ascii="Calibri" w:hAnsi="Calibri"/>
          <w:b w:val="0"/>
          <w:sz w:val="21"/>
        </w:rPr>
        <w:t>For [COUNSEL: consideration, payment timing, valuation, and tax characterization], Liam hereby assigns, transfers, and conveys to the Company all of Liam's right, title, and interest in and to the Assigned Assets, including the rights listed in Section 5, throughout the world for the full duration of those rights.</w:t>
      </w:r>
    </w:p>
    <w:p>
      <w:pPr>
        <w:keepLines w:val="0"/>
        <w:widowControl/>
      </w:pPr>
      <w:r>
        <w:rPr>
          <w:rFonts w:ascii="Calibri" w:hAnsi="Calibri"/>
          <w:b w:val="0"/>
          <w:sz w:val="21"/>
        </w:rPr>
        <w:t>This is intended as a present assignment, not merely a promise to assign. It transfers only rights Liam actually owns and does not purport to transfer rights owned by GridWork Digital LLC, another predecessor entity, a contributor, a school, an employer, a client, an open-source author, an AI provider, or another third party.</w:t>
      </w:r>
    </w:p>
    <w:p>
      <w:pPr>
        <w:pStyle w:val="Heading2"/>
        <w:pageBreakBefore w:val="0"/>
      </w:pPr>
      <w:r>
        <w:rPr>
          <w:rFonts w:ascii="Calibri" w:hAnsi="Calibri"/>
          <w:b/>
        </w:rPr>
        <w:t>8. Copyright writing</w:t>
      </w:r>
    </w:p>
    <w:p>
      <w:pPr>
        <w:keepLines w:val="0"/>
        <w:widowControl/>
      </w:pPr>
      <w:r>
        <w:rPr>
          <w:rFonts w:ascii="Calibri" w:hAnsi="Calibri"/>
          <w:b w:val="0"/>
          <w:sz w:val="21"/>
        </w:rPr>
        <w:t>The final instrument is intended to satisfy the signed-writing requirement of 17 U.S.C. Section 204(a). The schedule must identify the works with enough specificity for diligence while allowing a counsel-approved omitted-item cure.</w:t>
      </w:r>
    </w:p>
    <w:p>
      <w:pPr>
        <w:pStyle w:val="Heading2"/>
        <w:pageBreakBefore w:val="0"/>
      </w:pPr>
      <w:r>
        <w:rPr>
          <w:rFonts w:ascii="Calibri" w:hAnsi="Calibri"/>
          <w:b/>
        </w:rPr>
        <w:t>9. Patent and invention rights</w:t>
      </w:r>
    </w:p>
    <w:p>
      <w:pPr>
        <w:keepLines w:val="0"/>
        <w:widowControl/>
      </w:pPr>
      <w:r>
        <w:rPr>
          <w:rFonts w:ascii="Calibri" w:hAnsi="Calibri"/>
          <w:b w:val="0"/>
          <w:sz w:val="21"/>
        </w:rPr>
        <w:t>The assignment includes patentable inventions and patent applications to the extent Liam owns them and is intended to be recorded as required by 35 U.S.C. Section 261. [COUNSEL: add invention-specific execution and USPTO recordation language; do not assume copyright work-made-for-hire rules transfer patent rights.]</w:t>
      </w:r>
    </w:p>
    <w:p>
      <w:pPr>
        <w:pStyle w:val="Heading2"/>
        <w:pageBreakBefore w:val="0"/>
      </w:pPr>
      <w:r>
        <w:rPr>
          <w:rFonts w:ascii="Calibri" w:hAnsi="Calibri"/>
          <w:b/>
        </w:rPr>
        <w:t>10. Moral rights and publicity rights</w:t>
      </w:r>
    </w:p>
    <w:p>
      <w:pPr>
        <w:keepLines w:val="0"/>
        <w:widowControl/>
      </w:pPr>
      <w:r>
        <w:rPr>
          <w:rFonts w:ascii="Calibri" w:hAnsi="Calibri"/>
          <w:b w:val="0"/>
          <w:sz w:val="21"/>
        </w:rPr>
        <w:t>To the extent waivable, Liam waives and agrees not to assert moral rights in Assigned Assets. To the extent not waivable, he consents to Company uses, modifications, and attribution practices consistent with law. [COUNSEL: address name, likeness, publicity, and minor-consent issues separately.]</w:t>
      </w:r>
    </w:p>
    <w:p>
      <w:pPr>
        <w:pStyle w:val="Heading2"/>
        <w:pageBreakBefore w:val="0"/>
      </w:pPr>
      <w:r>
        <w:rPr>
          <w:rFonts w:ascii="Calibri" w:hAnsi="Calibri"/>
          <w:b/>
        </w:rPr>
        <w:t>11. Further assurances</w:t>
      </w:r>
    </w:p>
    <w:p>
      <w:pPr>
        <w:keepLines w:val="0"/>
        <w:widowControl/>
      </w:pPr>
      <w:r>
        <w:rPr>
          <w:rFonts w:ascii="Calibri" w:hAnsi="Calibri"/>
          <w:b w:val="0"/>
          <w:sz w:val="21"/>
        </w:rPr>
        <w:t>Liam shall provide reasonable information and execute lawful documents needed to register, record, maintain, defend, or enforce Assigned Assets, with the Company paying reasonable expenses. Before majority, no further-assurances provision requires an act beyond Liam's lawful capacity. After majority, the adult confirmation governs.</w:t>
      </w:r>
    </w:p>
    <w:p>
      <w:pPr>
        <w:pStyle w:val="Heading2"/>
        <w:pageBreakBefore w:val="0"/>
      </w:pPr>
      <w:r>
        <w:rPr>
          <w:rFonts w:ascii="Calibri" w:hAnsi="Calibri"/>
          <w:b/>
        </w:rPr>
        <w:t>12. Power of attorney</w:t>
      </w:r>
    </w:p>
    <w:p>
      <w:pPr>
        <w:keepLines w:val="0"/>
        <w:widowControl/>
      </w:pPr>
      <w:r>
        <w:rPr>
          <w:rFonts w:ascii="Calibri" w:hAnsi="Calibri"/>
          <w:b w:val="0"/>
          <w:sz w:val="21"/>
        </w:rPr>
        <w:t>[COUNSEL: determine whether a narrowly tailored, irrevocable power coupled with an interest is lawful and prudent. Do not include a broad power in the final instrument by default, especially while Liam is a minor.]</w:t>
      </w:r>
    </w:p>
    <w:p>
      <w:pPr>
        <w:pStyle w:val="Heading1"/>
        <w:pageBreakBefore w:val="0"/>
      </w:pPr>
      <w:r>
        <w:rPr>
          <w:rFonts w:ascii="Calibri" w:hAnsi="Calibri"/>
          <w:b/>
        </w:rPr>
        <w:t>Part D - Counsel-selected interim license alternative</w:t>
      </w:r>
    </w:p>
    <w:p>
      <w:pPr>
        <w:pStyle w:val="Heading2"/>
        <w:pageBreakBefore w:val="0"/>
      </w:pPr>
      <w:r>
        <w:rPr>
          <w:rFonts w:ascii="Calibri" w:hAnsi="Calibri"/>
          <w:b/>
        </w:rPr>
        <w:t>13. No automatic capacity cure; scope if lawfully approved</w:t>
      </w:r>
    </w:p>
    <w:p>
      <w:pPr>
        <w:keepLines w:val="0"/>
        <w:widowControl/>
      </w:pPr>
      <w:r>
        <w:rPr>
          <w:rFonts w:ascii="Calibri" w:hAnsi="Calibri"/>
          <w:b w:val="0"/>
          <w:sz w:val="21"/>
        </w:rPr>
        <w:t>This license does not activate automatically merely because the assignment is ineffective; a license granted by the same minor may be subject to the same capacity problem. Counsel may use the following exclusive-license language only if an independent representative or court lawfully approves it, or Liam later grants or confirms it after attaining majority. If so approved, Liam grants the Company an exclusive, worldwide, transferable, sublicensable, fully paid, royalty-free license under the affected rights to:</w:t>
      </w:r>
    </w:p>
    <w:p>
      <w:pPr>
        <w:widowControl/>
        <w:numPr>
          <w:ilvl w:val="0"/>
          <w:numId w:val="59"/>
        </w:numPr>
      </w:pPr>
      <w:r>
        <w:rPr>
          <w:rFonts w:ascii="Calibri" w:hAnsi="Calibri"/>
          <w:b w:val="0"/>
          <w:sz w:val="20"/>
        </w:rPr>
        <w:t>reproduce, modify, create derivative works, distribute, publicly display, publicly perform, host, operate, import, make, have made, use, offer, sell, license, and otherwise exploit the Assigned Assets;</w:t>
      </w:r>
    </w:p>
    <w:p>
      <w:pPr>
        <w:widowControl/>
        <w:numPr>
          <w:ilvl w:val="0"/>
          <w:numId w:val="59"/>
        </w:numPr>
      </w:pPr>
      <w:r>
        <w:rPr>
          <w:rFonts w:ascii="Calibri" w:hAnsi="Calibri"/>
          <w:b w:val="0"/>
          <w:sz w:val="20"/>
        </w:rPr>
        <w:t>develop and license open-source and commercial versions under Company-approved terms;</w:t>
      </w:r>
    </w:p>
    <w:p>
      <w:pPr>
        <w:widowControl/>
        <w:numPr>
          <w:ilvl w:val="0"/>
          <w:numId w:val="59"/>
        </w:numPr>
      </w:pPr>
      <w:r>
        <w:rPr>
          <w:rFonts w:ascii="Calibri" w:hAnsi="Calibri"/>
          <w:b w:val="0"/>
          <w:sz w:val="20"/>
        </w:rPr>
        <w:t>enforce the rights and retain recoveries; and</w:t>
      </w:r>
    </w:p>
    <w:p>
      <w:pPr>
        <w:widowControl/>
        <w:numPr>
          <w:ilvl w:val="0"/>
          <w:numId w:val="59"/>
        </w:numPr>
      </w:pPr>
      <w:r>
        <w:rPr>
          <w:rFonts w:ascii="Calibri" w:hAnsi="Calibri"/>
          <w:b w:val="0"/>
          <w:sz w:val="20"/>
        </w:rPr>
        <w:t>grant customer, vendor, contributor, and distribution rights necessary to operate the business.</w:t>
      </w:r>
    </w:p>
    <w:p>
      <w:pPr>
        <w:keepLines w:val="0"/>
        <w:widowControl/>
      </w:pPr>
      <w:r>
        <w:rPr>
          <w:rFonts w:ascii="Calibri" w:hAnsi="Calibri"/>
          <w:b w:val="0"/>
          <w:sz w:val="21"/>
        </w:rPr>
        <w:t>The license continues until the affected right is validly assigned and confirmed after majority. [COUNSEL: document the capacity basis, independent or court approval, exclusivity, irrevocability, duration, consideration, and sublicense rights.]</w:t>
      </w:r>
    </w:p>
    <w:p>
      <w:pPr>
        <w:pStyle w:val="Heading2"/>
        <w:pageBreakBefore w:val="0"/>
      </w:pPr>
      <w:r>
        <w:rPr>
          <w:rFonts w:ascii="Calibri" w:hAnsi="Calibri"/>
          <w:b/>
        </w:rPr>
        <w:t>14. Operational continuity license</w:t>
      </w:r>
    </w:p>
    <w:p>
      <w:pPr>
        <w:keepLines w:val="0"/>
        <w:widowControl/>
      </w:pPr>
      <w:r>
        <w:rPr>
          <w:rFonts w:ascii="Calibri" w:hAnsi="Calibri"/>
          <w:b w:val="0"/>
          <w:sz w:val="21"/>
        </w:rPr>
        <w:t>If counsel determines an exclusive license cannot safely be relied on, the final instrument may use a nonexclusive operational license only through a lawful independent, court-approved, or post-majority process. It must not represent that a minor's signature alone cures capacity or chain of title.</w:t>
      </w:r>
    </w:p>
    <w:p>
      <w:pPr>
        <w:pStyle w:val="Heading2"/>
        <w:pageBreakBefore w:val="0"/>
      </w:pPr>
      <w:r>
        <w:rPr>
          <w:rFonts w:ascii="Calibri" w:hAnsi="Calibri"/>
          <w:b/>
        </w:rPr>
        <w:t>15. No double recovery</w:t>
      </w:r>
    </w:p>
    <w:p>
      <w:pPr>
        <w:keepLines w:val="0"/>
        <w:widowControl/>
      </w:pPr>
      <w:r>
        <w:rPr>
          <w:rFonts w:ascii="Calibri" w:hAnsi="Calibri"/>
          <w:b w:val="0"/>
          <w:sz w:val="21"/>
        </w:rPr>
        <w:t>The license backstop does not require double payment and terminates as to a right when valid title to that right is confirmed in the Company, except for sublicenses already granted and any counsel-selected survival term.</w:t>
      </w:r>
    </w:p>
    <w:p>
      <w:pPr>
        <w:pStyle w:val="Heading1"/>
        <w:pageBreakBefore w:val="0"/>
      </w:pPr>
      <w:r>
        <w:rPr>
          <w:rFonts w:ascii="Calibri" w:hAnsi="Calibri"/>
          <w:b/>
        </w:rPr>
        <w:t>Part E - Consideration and economic fairness</w:t>
      </w:r>
    </w:p>
    <w:p>
      <w:pPr>
        <w:pStyle w:val="Heading2"/>
        <w:pageBreakBefore w:val="0"/>
      </w:pPr>
      <w:r>
        <w:rPr>
          <w:rFonts w:ascii="Calibri" w:hAnsi="Calibri"/>
          <w:b/>
        </w:rPr>
        <w:t>16. Consideration</w:t>
      </w:r>
    </w:p>
    <w:p>
      <w:pPr>
        <w:keepLines w:val="0"/>
        <w:widowControl/>
      </w:pPr>
      <w:r>
        <w:rPr>
          <w:rFonts w:ascii="Calibri" w:hAnsi="Calibri"/>
          <w:b w:val="0"/>
          <w:sz w:val="21"/>
        </w:rPr>
        <w:t>Consideration is [COUNSEL AND CPA: cash, employment opportunity, trust benefit, covenant, other value, or combination]. The final instrument shall state actual consideration and payment records. It shall not use nominal consideration if the true arrangement or law requires a different record.</w:t>
      </w:r>
    </w:p>
    <w:p>
      <w:pPr>
        <w:pStyle w:val="Heading2"/>
        <w:pageBreakBefore w:val="0"/>
      </w:pPr>
      <w:r>
        <w:rPr>
          <w:rFonts w:ascii="Calibri" w:hAnsi="Calibri"/>
          <w:b/>
        </w:rPr>
        <w:t>17. Valuation</w:t>
      </w:r>
    </w:p>
    <w:p>
      <w:pPr>
        <w:keepLines w:val="0"/>
        <w:widowControl/>
      </w:pPr>
      <w:r>
        <w:rPr>
          <w:rFonts w:ascii="Calibri" w:hAnsi="Calibri"/>
          <w:b w:val="0"/>
          <w:sz w:val="21"/>
        </w:rPr>
        <w:t>[COUNSEL/CPA/VALUATION PROFESSIONAL: determine valuation scope and date, including whether public marketing, current code, pre-revenue status, and a potentially large transaction require a formal appraisal.]</w:t>
      </w:r>
    </w:p>
    <w:p>
      <w:pPr>
        <w:pStyle w:val="Heading2"/>
        <w:pageBreakBefore w:val="0"/>
      </w:pPr>
      <w:r>
        <w:rPr>
          <w:rFonts w:ascii="Calibri" w:hAnsi="Calibri"/>
          <w:b/>
        </w:rPr>
        <w:t>18. Independent fairness review</w:t>
      </w:r>
    </w:p>
    <w:p>
      <w:pPr>
        <w:keepLines w:val="0"/>
        <w:widowControl/>
      </w:pPr>
      <w:r>
        <w:rPr>
          <w:rFonts w:ascii="Calibri" w:hAnsi="Calibri"/>
          <w:b w:val="0"/>
          <w:sz w:val="21"/>
        </w:rPr>
        <w:t>[COUNSEL: specify Liam's independent advice, guardian ad litem/conservator/court process, conflict consent, and fairness determination.] The Company shall pay independent-advisor fees only under a written arrangement that preserves the advisor's duty to Liam.</w:t>
      </w:r>
    </w:p>
    <w:p>
      <w:pPr>
        <w:pStyle w:val="Heading1"/>
        <w:pageBreakBefore w:val="0"/>
      </w:pPr>
      <w:r>
        <w:rPr>
          <w:rFonts w:ascii="Calibri" w:hAnsi="Calibri"/>
          <w:b/>
        </w:rPr>
        <w:t>Part F - Representations limited to knowledge and records</w:t>
      </w:r>
    </w:p>
    <w:p>
      <w:pPr>
        <w:pStyle w:val="Heading2"/>
        <w:pageBreakBefore w:val="0"/>
      </w:pPr>
      <w:r>
        <w:rPr>
          <w:rFonts w:ascii="Calibri" w:hAnsi="Calibri"/>
          <w:b/>
        </w:rPr>
        <w:t>19. Liam's factual statements</w:t>
      </w:r>
    </w:p>
    <w:p>
      <w:pPr>
        <w:keepLines w:val="0"/>
        <w:widowControl/>
      </w:pPr>
      <w:r>
        <w:rPr>
          <w:rFonts w:ascii="Calibri" w:hAnsi="Calibri"/>
          <w:b w:val="0"/>
          <w:sz w:val="21"/>
        </w:rPr>
        <w:t>Liam states, to his present actual knowledge after reasonable review and subject to the schedules, that:</w:t>
      </w:r>
    </w:p>
    <w:p>
      <w:pPr>
        <w:widowControl/>
        <w:numPr>
          <w:ilvl w:val="0"/>
          <w:numId w:val="60"/>
        </w:numPr>
      </w:pPr>
      <w:r>
        <w:rPr>
          <w:rFonts w:ascii="Calibri" w:hAnsi="Calibri"/>
          <w:b w:val="0"/>
          <w:sz w:val="20"/>
        </w:rPr>
        <w:t>he is the principal known human author and operator of the Caisson materials;</w:t>
      </w:r>
    </w:p>
    <w:p>
      <w:pPr>
        <w:widowControl/>
        <w:numPr>
          <w:ilvl w:val="0"/>
          <w:numId w:val="60"/>
        </w:numPr>
      </w:pPr>
      <w:r>
        <w:rPr>
          <w:rFonts w:ascii="Calibri" w:hAnsi="Calibri"/>
          <w:b w:val="0"/>
          <w:sz w:val="20"/>
        </w:rPr>
        <w:t>the existence, identity, and scope of any other human contributor have not yet been confirmed and must be resolved on Schedule 9-E before this statement becomes an execution representation;</w:t>
      </w:r>
    </w:p>
    <w:p>
      <w:pPr>
        <w:widowControl/>
        <w:numPr>
          <w:ilvl w:val="0"/>
          <w:numId w:val="60"/>
        </w:numPr>
      </w:pPr>
      <w:r>
        <w:rPr>
          <w:rFonts w:ascii="Calibri" w:hAnsi="Calibri"/>
          <w:b w:val="0"/>
          <w:sz w:val="20"/>
        </w:rPr>
        <w:t>substantial portions were created with AI assistance and must not be described as solely unaided human authorship;</w:t>
      </w:r>
    </w:p>
    <w:p>
      <w:pPr>
        <w:widowControl/>
        <w:numPr>
          <w:ilvl w:val="0"/>
          <w:numId w:val="60"/>
        </w:numPr>
      </w:pPr>
      <w:r>
        <w:rPr>
          <w:rFonts w:ascii="Calibri" w:hAnsi="Calibri"/>
          <w:b w:val="0"/>
          <w:sz w:val="20"/>
        </w:rPr>
        <w:t>the repository and source materials identify predecessor influences and pattern sources listed on Schedule 9-C;</w:t>
      </w:r>
    </w:p>
    <w:p>
      <w:pPr>
        <w:widowControl/>
        <w:numPr>
          <w:ilvl w:val="0"/>
          <w:numId w:val="60"/>
        </w:numPr>
      </w:pPr>
      <w:r>
        <w:rPr>
          <w:rFonts w:ascii="Calibri" w:hAnsi="Calibri"/>
          <w:b w:val="0"/>
          <w:sz w:val="20"/>
        </w:rPr>
        <w:t>he has not knowingly signed a prior comprehensive assignment of the Assigned Assets except as disclosed;</w:t>
      </w:r>
    </w:p>
    <w:p>
      <w:pPr>
        <w:widowControl/>
        <w:numPr>
          <w:ilvl w:val="0"/>
          <w:numId w:val="60"/>
        </w:numPr>
      </w:pPr>
      <w:r>
        <w:rPr>
          <w:rFonts w:ascii="Calibri" w:hAnsi="Calibri"/>
          <w:b w:val="0"/>
          <w:sz w:val="20"/>
        </w:rPr>
        <w:t>he will disclose any school, class, contest, hackathon, internship, employer, client, platform, device, account, or network term that may claim or restrict rights; and</w:t>
      </w:r>
    </w:p>
    <w:p>
      <w:pPr>
        <w:widowControl/>
        <w:numPr>
          <w:ilvl w:val="0"/>
          <w:numId w:val="60"/>
        </w:numPr>
      </w:pPr>
      <w:r>
        <w:rPr>
          <w:rFonts w:ascii="Calibri" w:hAnsi="Calibri"/>
          <w:b w:val="0"/>
          <w:sz w:val="20"/>
        </w:rPr>
        <w:t>he has not knowingly promised conflicting exclusive rights except as disclosed.</w:t>
      </w:r>
    </w:p>
    <w:p>
      <w:pPr>
        <w:keepLines w:val="0"/>
        <w:widowControl/>
      </w:pPr>
      <w:r>
        <w:rPr>
          <w:rFonts w:ascii="Calibri" w:hAnsi="Calibri"/>
          <w:b w:val="0"/>
          <w:sz w:val="21"/>
        </w:rPr>
        <w:t>These are knowledge-qualified factual statements, not a warranty of noninfringement, patentability, title free from every unknown claim, or legal characterization of AI output.</w:t>
      </w:r>
    </w:p>
    <w:p>
      <w:pPr>
        <w:pStyle w:val="Heading2"/>
        <w:pageBreakBefore w:val="0"/>
      </w:pPr>
      <w:r>
        <w:rPr>
          <w:rFonts w:ascii="Calibri" w:hAnsi="Calibri"/>
          <w:b/>
        </w:rPr>
        <w:t>20. Company's acknowledgement</w:t>
      </w:r>
    </w:p>
    <w:p>
      <w:pPr>
        <w:keepLines w:val="0"/>
        <w:widowControl/>
      </w:pPr>
      <w:r>
        <w:rPr>
          <w:rFonts w:ascii="Calibri" w:hAnsi="Calibri"/>
          <w:b w:val="0"/>
          <w:sz w:val="21"/>
        </w:rPr>
        <w:t>The Company acknowledges that diligence is incomplete until the final schedules, source comparisons, account records, dependency/SBOM report, contributor report, public-release archive, and advisor review are complete.</w:t>
      </w:r>
    </w:p>
    <w:p>
      <w:pPr>
        <w:pStyle w:val="Heading2"/>
        <w:pageBreakBefore w:val="0"/>
      </w:pPr>
      <w:r>
        <w:rPr>
          <w:rFonts w:ascii="Calibri" w:hAnsi="Calibri"/>
          <w:b/>
        </w:rPr>
        <w:t>21. No false GridWork recital</w:t>
      </w:r>
    </w:p>
    <w:p>
      <w:pPr>
        <w:keepLines w:val="0"/>
        <w:widowControl/>
      </w:pPr>
      <w:r>
        <w:rPr>
          <w:rFonts w:ascii="Calibri" w:hAnsi="Calibri"/>
          <w:b w:val="0"/>
          <w:sz w:val="21"/>
        </w:rPr>
        <w:t>Liam reports for drafting that "Copyright 2026 GridWork Digital LLC" is a stale notice slated for correction; title review has not yet independently verified that conclusion. This instrument does not state that GridWork Digital LLC owned the Assigned Assets, employed Liam, or assigned anything to Liam or the Company. Counsel shall verify:</w:t>
      </w:r>
    </w:p>
    <w:p>
      <w:pPr>
        <w:widowControl/>
        <w:numPr>
          <w:ilvl w:val="0"/>
          <w:numId w:val="61"/>
        </w:numPr>
      </w:pPr>
      <w:r>
        <w:rPr>
          <w:rFonts w:ascii="Calibri" w:hAnsi="Calibri"/>
          <w:b w:val="0"/>
          <w:sz w:val="20"/>
        </w:rPr>
        <w:t>whether an entity with that legal name exists or existed;</w:t>
      </w:r>
    </w:p>
    <w:p>
      <w:pPr>
        <w:widowControl/>
        <w:numPr>
          <w:ilvl w:val="0"/>
          <w:numId w:val="61"/>
        </w:numPr>
      </w:pPr>
      <w:r>
        <w:rPr>
          <w:rFonts w:ascii="Calibri" w:hAnsi="Calibri"/>
          <w:b w:val="0"/>
          <w:sz w:val="20"/>
        </w:rPr>
        <w:t>its jurisdiction, owners, clients, employees, contractors, and repositories;</w:t>
      </w:r>
    </w:p>
    <w:p>
      <w:pPr>
        <w:widowControl/>
        <w:numPr>
          <w:ilvl w:val="0"/>
          <w:numId w:val="61"/>
        </w:numPr>
      </w:pPr>
      <w:r>
        <w:rPr>
          <w:rFonts w:ascii="Calibri" w:hAnsi="Calibri"/>
          <w:b w:val="0"/>
          <w:sz w:val="20"/>
        </w:rPr>
        <w:t>why the notice was inserted;</w:t>
      </w:r>
    </w:p>
    <w:p>
      <w:pPr>
        <w:widowControl/>
        <w:numPr>
          <w:ilvl w:val="0"/>
          <w:numId w:val="61"/>
        </w:numPr>
      </w:pPr>
      <w:r>
        <w:rPr>
          <w:rFonts w:ascii="Calibri" w:hAnsi="Calibri"/>
          <w:b w:val="0"/>
          <w:sz w:val="20"/>
        </w:rPr>
        <w:t>whether any agreement or course of dealing gave it rights; and</w:t>
      </w:r>
    </w:p>
    <w:p>
      <w:pPr>
        <w:widowControl/>
        <w:numPr>
          <w:ilvl w:val="0"/>
          <w:numId w:val="61"/>
        </w:numPr>
      </w:pPr>
      <w:r>
        <w:rPr>
          <w:rFonts w:ascii="Calibri" w:hAnsi="Calibri"/>
          <w:b w:val="0"/>
          <w:sz w:val="20"/>
        </w:rPr>
        <w:t>whether a separate assignment, disclaimer, consent, or correction record is required.</w:t>
      </w:r>
    </w:p>
    <w:p>
      <w:pPr>
        <w:keepLines w:val="0"/>
        <w:widowControl/>
      </w:pPr>
      <w:r>
        <w:rPr>
          <w:rFonts w:ascii="Calibri" w:hAnsi="Calibri"/>
          <w:b w:val="0"/>
          <w:sz w:val="21"/>
        </w:rPr>
        <w:t>If a real GridWork right is discovered, it is excluded from Liam's assignment until the actual owner executes a separate, supported instrument. No backdated or fictional assignment may be created.</w:t>
      </w:r>
    </w:p>
    <w:p>
      <w:pPr>
        <w:pStyle w:val="Heading1"/>
        <w:pageBreakBefore w:val="0"/>
      </w:pPr>
      <w:r>
        <w:rPr>
          <w:rFonts w:ascii="Calibri" w:hAnsi="Calibri"/>
          <w:b/>
        </w:rPr>
        <w:t>Part G - Existing licenses, open source, and public statements</w:t>
      </w:r>
    </w:p>
    <w:p>
      <w:pPr>
        <w:pStyle w:val="Heading2"/>
        <w:pageBreakBefore w:val="0"/>
      </w:pPr>
      <w:r>
        <w:rPr>
          <w:rFonts w:ascii="Calibri" w:hAnsi="Calibri"/>
          <w:b/>
        </w:rPr>
        <w:t>22. Subject to valid prior grants</w:t>
      </w:r>
    </w:p>
    <w:p>
      <w:pPr>
        <w:keepLines w:val="0"/>
        <w:widowControl/>
      </w:pPr>
      <w:r>
        <w:rPr>
          <w:rFonts w:ascii="Calibri" w:hAnsi="Calibri"/>
          <w:b w:val="0"/>
          <w:sz w:val="21"/>
        </w:rPr>
        <w:t>Assigned Assets are transferred subject to any valid license granted before the assignment. The Company may not revoke rights that an authorized copyright owner already granted irrevocably under Apache-2.0 merely by acquiring title later.</w:t>
      </w:r>
    </w:p>
    <w:p>
      <w:pPr>
        <w:pStyle w:val="Heading2"/>
        <w:pageBreakBefore w:val="0"/>
      </w:pPr>
      <w:r>
        <w:rPr>
          <w:rFonts w:ascii="Calibri" w:hAnsi="Calibri"/>
          <w:b/>
        </w:rPr>
        <w:t>23. No concession that every stated grant was authorized</w:t>
      </w:r>
    </w:p>
    <w:p>
      <w:pPr>
        <w:keepLines w:val="0"/>
        <w:widowControl/>
      </w:pPr>
      <w:r>
        <w:rPr>
          <w:rFonts w:ascii="Calibri" w:hAnsi="Calibri"/>
          <w:b w:val="0"/>
          <w:sz w:val="21"/>
        </w:rPr>
        <w:t>Acknowledging a public statement or package notice does not concede that the speaker owned the rights, that source was actually distributed, or that a particular grant was legally effective. Counsel shall determine those issues from the archived facts.</w:t>
      </w:r>
    </w:p>
    <w:p>
      <w:pPr>
        <w:pStyle w:val="Heading2"/>
        <w:pageBreakBefore w:val="0"/>
      </w:pPr>
      <w:r>
        <w:rPr>
          <w:rFonts w:ascii="Calibri" w:hAnsi="Calibri"/>
          <w:b/>
        </w:rPr>
        <w:t>24. Public-record facts to preserve</w:t>
      </w:r>
    </w:p>
    <w:p>
      <w:pPr>
        <w:keepLines w:val="0"/>
        <w:widowControl/>
      </w:pPr>
      <w:r>
        <w:rPr>
          <w:rFonts w:ascii="Calibri" w:hAnsi="Calibri"/>
          <w:b w:val="0"/>
          <w:sz w:val="21"/>
        </w:rPr>
        <w:t>The closing file shall preserve the following current record, without rewriting history:</w:t>
      </w:r>
    </w:p>
    <w:p>
      <w:pPr>
        <w:widowControl/>
        <w:numPr>
          <w:ilvl w:val="0"/>
          <w:numId w:val="62"/>
        </w:numPr>
      </w:pPr>
      <w:r>
        <w:rPr>
          <w:rFonts w:ascii="Calibri" w:hAnsi="Calibri"/>
          <w:b w:val="0"/>
          <w:sz w:val="20"/>
        </w:rPr>
        <w:t xml:space="preserve">On July 10, 2026, the marketing, marketplace, documentation, glossary, legal, llms, robots, and related non-commerce routes became publicly accessible under the documented Cloudflare Access scope; </w:t>
      </w:r>
      <w:r>
        <w:rPr>
          <w:rFonts w:ascii="Consolas" w:hAnsi="Consolas"/>
          <w:color w:val="1F4D78"/>
          <w:sz w:val="19"/>
        </w:rPr>
        <w:t>/cart*</w:t>
      </w:r>
      <w:r>
        <w:rPr>
          <w:rFonts w:ascii="Calibri" w:hAnsi="Calibri"/>
          <w:b w:val="0"/>
          <w:sz w:val="20"/>
        </w:rPr>
        <w:t xml:space="preserve"> and </w:t>
      </w:r>
      <w:r>
        <w:rPr>
          <w:rFonts w:ascii="Consolas" w:hAnsi="Consolas"/>
          <w:color w:val="1F4D78"/>
          <w:sz w:val="19"/>
        </w:rPr>
        <w:t>/dashboard*</w:t>
      </w:r>
      <w:r>
        <w:rPr>
          <w:rFonts w:ascii="Calibri" w:hAnsi="Calibri"/>
          <w:b w:val="0"/>
          <w:sz w:val="20"/>
        </w:rPr>
        <w:t xml:space="preserve"> remained gated at that time.</w:t>
      </w:r>
    </w:p>
    <w:p>
      <w:pPr>
        <w:widowControl/>
        <w:numPr>
          <w:ilvl w:val="0"/>
          <w:numId w:val="62"/>
        </w:numPr>
      </w:pPr>
      <w:r>
        <w:rPr>
          <w:rFonts w:ascii="Calibri" w:hAnsi="Calibri"/>
          <w:b w:val="0"/>
          <w:sz w:val="20"/>
        </w:rPr>
        <w:t xml:space="preserve">On July 11, 2026, </w:t>
      </w:r>
      <w:r>
        <w:rPr>
          <w:rFonts w:ascii="Consolas" w:hAnsi="Consolas"/>
          <w:color w:val="1F4D78"/>
          <w:sz w:val="19"/>
        </w:rPr>
        <w:t>https://caisson.sh/</w:t>
      </w:r>
      <w:r>
        <w:rPr>
          <w:rFonts w:ascii="Calibri" w:hAnsi="Calibri"/>
          <w:b w:val="0"/>
          <w:sz w:val="20"/>
        </w:rPr>
        <w:t xml:space="preserve"> and </w:t>
      </w:r>
      <w:r>
        <w:rPr>
          <w:rFonts w:ascii="Consolas" w:hAnsi="Consolas"/>
          <w:color w:val="1F4D78"/>
          <w:sz w:val="19"/>
        </w:rPr>
        <w:t>https://caisson.sh/docs</w:t>
      </w:r>
      <w:r>
        <w:rPr>
          <w:rFonts w:ascii="Calibri" w:hAnsi="Calibri"/>
          <w:b w:val="0"/>
          <w:sz w:val="20"/>
        </w:rPr>
        <w:t xml:space="preserve"> returned public HTTP 200 responses.</w:t>
      </w:r>
    </w:p>
    <w:p>
      <w:pPr>
        <w:widowControl/>
        <w:numPr>
          <w:ilvl w:val="0"/>
          <w:numId w:val="62"/>
        </w:numPr>
      </w:pPr>
      <w:r>
        <w:rPr>
          <w:rFonts w:ascii="Calibri" w:hAnsi="Calibri"/>
          <w:b w:val="0"/>
          <w:sz w:val="20"/>
        </w:rPr>
        <w:t>The public footer states "Copyright 2026 Caisson Software LLC."</w:t>
      </w:r>
    </w:p>
    <w:p>
      <w:pPr>
        <w:widowControl/>
        <w:numPr>
          <w:ilvl w:val="0"/>
          <w:numId w:val="62"/>
        </w:numPr>
      </w:pPr>
      <w:r>
        <w:rPr>
          <w:rFonts w:ascii="Calibri" w:hAnsi="Calibri"/>
          <w:b w:val="0"/>
          <w:sz w:val="20"/>
        </w:rPr>
        <w:t>The public Terms state that site content, diagrams, wordmark, glyph, and documentation are owned by Caisson Software LLC or its licensors and are marked pending final legal review.</w:t>
      </w:r>
    </w:p>
    <w:p>
      <w:pPr>
        <w:widowControl/>
        <w:numPr>
          <w:ilvl w:val="0"/>
          <w:numId w:val="62"/>
        </w:numPr>
      </w:pPr>
      <w:r>
        <w:rPr>
          <w:rFonts w:ascii="Calibri" w:hAnsi="Calibri"/>
          <w:b w:val="0"/>
          <w:sz w:val="20"/>
        </w:rPr>
        <w:t>The public license page describes 15 named packages as Apache-2.0, open source, and free to use, modify, and redistribute.</w:t>
      </w:r>
    </w:p>
    <w:p>
      <w:pPr>
        <w:widowControl/>
        <w:numPr>
          <w:ilvl w:val="0"/>
          <w:numId w:val="62"/>
        </w:numPr>
      </w:pPr>
      <w:r>
        <w:rPr>
          <w:rFonts w:ascii="Calibri" w:hAnsi="Calibri"/>
          <w:b w:val="0"/>
          <w:sz w:val="20"/>
        </w:rPr>
        <w:t xml:space="preserve">Anonymous </w:t>
      </w:r>
      <w:r>
        <w:rPr>
          <w:rFonts w:ascii="Consolas" w:hAnsi="Consolas"/>
          <w:color w:val="1F4D78"/>
          <w:sz w:val="19"/>
        </w:rPr>
        <w:t>registry.caisson.sh</w:t>
      </w:r>
      <w:r>
        <w:rPr>
          <w:rFonts w:ascii="Calibri" w:hAnsi="Calibri"/>
          <w:b w:val="0"/>
          <w:sz w:val="20"/>
        </w:rPr>
        <w:t xml:space="preserve"> metadata exposes 16 Apache-2.0 modules, including </w:t>
      </w:r>
      <w:r>
        <w:rPr>
          <w:rFonts w:ascii="Consolas" w:hAnsi="Consolas"/>
          <w:color w:val="1F4D78"/>
          <w:sz w:val="19"/>
        </w:rPr>
        <w:t>@caisson/analytics</w:t>
      </w:r>
      <w:r>
        <w:rPr>
          <w:rFonts w:ascii="Calibri" w:hAnsi="Calibri"/>
          <w:b w:val="0"/>
          <w:sz w:val="20"/>
        </w:rPr>
        <w:t>, which does not appear on the public 15-package page.</w:t>
      </w:r>
    </w:p>
    <w:p>
      <w:pPr>
        <w:widowControl/>
        <w:numPr>
          <w:ilvl w:val="0"/>
          <w:numId w:val="62"/>
        </w:numPr>
      </w:pPr>
      <w:r>
        <w:rPr>
          <w:rFonts w:ascii="Calibri" w:hAnsi="Calibri"/>
          <w:b w:val="0"/>
          <w:sz w:val="20"/>
        </w:rPr>
        <w:t>As of the July 11, 2026 review, the checked GitHub mirror URL and representative public npm identifiers returned 404 responses. No downloadable OSS source was located in those checked channels; the conclusion is bounded to the attached checks and does not prove absence from every channel.</w:t>
      </w:r>
    </w:p>
    <w:p>
      <w:pPr>
        <w:widowControl/>
        <w:numPr>
          <w:ilvl w:val="0"/>
          <w:numId w:val="62"/>
        </w:numPr>
      </w:pPr>
      <w:r>
        <w:rPr>
          <w:rFonts w:ascii="Calibri" w:hAnsi="Calibri"/>
          <w:b w:val="0"/>
          <w:sz w:val="20"/>
        </w:rPr>
        <w:t>Each of the 16 Apache package LICENSE files in the reviewed source record contains the stale GridWork Digital LLC notice.</w:t>
      </w:r>
    </w:p>
    <w:p>
      <w:pPr>
        <w:keepLines w:val="0"/>
        <w:widowControl/>
      </w:pPr>
      <w:r>
        <w:rPr>
          <w:rFonts w:ascii="Calibri" w:hAnsi="Calibri"/>
          <w:b w:val="0"/>
          <w:sz w:val="21"/>
        </w:rPr>
        <w:t>Counsel shall attach hashes, screenshots, response headers, repository settings, workflow state, and deployment logs rather than relying on this narrative alone.</w:t>
      </w:r>
    </w:p>
    <w:p>
      <w:pPr>
        <w:pStyle w:val="Heading2"/>
        <w:pageBreakBefore w:val="0"/>
      </w:pPr>
      <w:r>
        <w:rPr>
          <w:rFonts w:ascii="Calibri" w:hAnsi="Calibri"/>
          <w:b/>
        </w:rPr>
        <w:t>25. Correction and first-source-release protocol</w:t>
      </w:r>
    </w:p>
    <w:p>
      <w:pPr>
        <w:keepLines w:val="0"/>
        <w:widowControl/>
      </w:pPr>
      <w:r>
        <w:rPr>
          <w:rFonts w:ascii="Calibri" w:hAnsi="Calibri"/>
          <w:b w:val="0"/>
          <w:sz w:val="21"/>
        </w:rPr>
        <w:t>Before any public OSS source, GitHub mirror, npm package, tarball, or other source release:</w:t>
      </w:r>
    </w:p>
    <w:p>
      <w:pPr>
        <w:widowControl/>
        <w:numPr>
          <w:ilvl w:val="0"/>
          <w:numId w:val="63"/>
        </w:numPr>
      </w:pPr>
      <w:r>
        <w:rPr>
          <w:rFonts w:ascii="Calibri" w:hAnsi="Calibri"/>
          <w:b w:val="0"/>
          <w:sz w:val="20"/>
        </w:rPr>
        <w:t>freeze the exact release candidate and preserve the current record;</w:t>
      </w:r>
    </w:p>
    <w:p>
      <w:pPr>
        <w:widowControl/>
        <w:numPr>
          <w:ilvl w:val="0"/>
          <w:numId w:val="63"/>
        </w:numPr>
      </w:pPr>
      <w:r>
        <w:rPr>
          <w:rFonts w:ascii="Calibri" w:hAnsi="Calibri"/>
          <w:b w:val="0"/>
          <w:sz w:val="20"/>
        </w:rPr>
        <w:t>close or disclose every material title exception;</w:t>
      </w:r>
    </w:p>
    <w:p>
      <w:pPr>
        <w:widowControl/>
        <w:numPr>
          <w:ilvl w:val="0"/>
          <w:numId w:val="63"/>
        </w:numPr>
      </w:pPr>
      <w:r>
        <w:rPr>
          <w:rFonts w:ascii="Calibri" w:hAnsi="Calibri"/>
          <w:b w:val="0"/>
          <w:sz w:val="20"/>
        </w:rPr>
        <w:t xml:space="preserve">decide whether </w:t>
      </w:r>
      <w:r>
        <w:rPr>
          <w:rFonts w:ascii="Consolas" w:hAnsi="Consolas"/>
          <w:color w:val="1F4D78"/>
          <w:sz w:val="19"/>
        </w:rPr>
        <w:t>analytics</w:t>
      </w:r>
      <w:r>
        <w:rPr>
          <w:rFonts w:ascii="Calibri" w:hAnsi="Calibri"/>
          <w:b w:val="0"/>
          <w:sz w:val="20"/>
        </w:rPr>
        <w:t xml:space="preserve"> is intentionally the 16th open package and reconcile every 15/16 statement;</w:t>
      </w:r>
    </w:p>
    <w:p>
      <w:pPr>
        <w:widowControl/>
        <w:numPr>
          <w:ilvl w:val="0"/>
          <w:numId w:val="63"/>
        </w:numPr>
      </w:pPr>
      <w:r>
        <w:rPr>
          <w:rFonts w:ascii="Calibri" w:hAnsi="Calibri"/>
          <w:b w:val="0"/>
          <w:sz w:val="20"/>
        </w:rPr>
        <w:t>correct the stale GridWork notice prospectively based on actual title, without implying an unproved past assignment;</w:t>
      </w:r>
    </w:p>
    <w:p>
      <w:pPr>
        <w:widowControl/>
        <w:numPr>
          <w:ilvl w:val="0"/>
          <w:numId w:val="63"/>
        </w:numPr>
      </w:pPr>
      <w:r>
        <w:rPr>
          <w:rFonts w:ascii="Calibri" w:hAnsi="Calibri"/>
          <w:b w:val="0"/>
          <w:sz w:val="20"/>
        </w:rPr>
        <w:t>ensure every package manifest, LICENSE, NOTICE if required, SPDX field, copyright notice, source header, site page, registry record, mirror artifact, and package record agrees;</w:t>
      </w:r>
    </w:p>
    <w:p>
      <w:pPr>
        <w:widowControl/>
        <w:numPr>
          <w:ilvl w:val="0"/>
          <w:numId w:val="63"/>
        </w:numPr>
      </w:pPr>
      <w:r>
        <w:rPr>
          <w:rFonts w:ascii="Calibri" w:hAnsi="Calibri"/>
          <w:b w:val="0"/>
          <w:sz w:val="20"/>
        </w:rPr>
        <w:t>preserve valid third-party and upstream notices;</w:t>
      </w:r>
    </w:p>
    <w:p>
      <w:pPr>
        <w:widowControl/>
        <w:numPr>
          <w:ilvl w:val="0"/>
          <w:numId w:val="63"/>
        </w:numPr>
      </w:pPr>
      <w:r>
        <w:rPr>
          <w:rFonts w:ascii="Calibri" w:hAnsi="Calibri"/>
          <w:b w:val="0"/>
          <w:sz w:val="20"/>
        </w:rPr>
        <w:t>archive the bytes, commit, tag, date, account, approving person, and license snapshot;</w:t>
      </w:r>
    </w:p>
    <w:p>
      <w:pPr>
        <w:widowControl/>
        <w:numPr>
          <w:ilvl w:val="0"/>
          <w:numId w:val="63"/>
        </w:numPr>
      </w:pPr>
      <w:r>
        <w:rPr>
          <w:rFonts w:ascii="Calibri" w:hAnsi="Calibri"/>
          <w:b w:val="0"/>
          <w:sz w:val="20"/>
        </w:rPr>
        <w:t>retain a record of what was not released; and</w:t>
      </w:r>
    </w:p>
    <w:p>
      <w:pPr>
        <w:widowControl/>
        <w:numPr>
          <w:ilvl w:val="0"/>
          <w:numId w:val="63"/>
        </w:numPr>
      </w:pPr>
      <w:r>
        <w:rPr>
          <w:rFonts w:ascii="Calibri" w:hAnsi="Calibri"/>
          <w:b w:val="0"/>
          <w:sz w:val="20"/>
        </w:rPr>
        <w:t>have counsel approve the release representation and contributor policy.</w:t>
      </w:r>
    </w:p>
    <w:p>
      <w:pPr>
        <w:pStyle w:val="Heading1"/>
        <w:pageBreakBefore w:val="0"/>
      </w:pPr>
      <w:r>
        <w:rPr>
          <w:rFonts w:ascii="Calibri" w:hAnsi="Calibri"/>
          <w:b/>
        </w:rPr>
        <w:t>Part H - Company obligations</w:t>
      </w:r>
    </w:p>
    <w:p>
      <w:pPr>
        <w:pStyle w:val="Heading2"/>
        <w:pageBreakBefore w:val="0"/>
      </w:pPr>
      <w:r>
        <w:rPr>
          <w:rFonts w:ascii="Calibri" w:hAnsi="Calibri"/>
          <w:b/>
        </w:rPr>
        <w:t>26. Company records and registration</w:t>
      </w:r>
    </w:p>
    <w:p>
      <w:pPr>
        <w:keepLines w:val="0"/>
        <w:widowControl/>
      </w:pPr>
      <w:r>
        <w:rPr>
          <w:rFonts w:ascii="Calibri" w:hAnsi="Calibri"/>
          <w:b w:val="0"/>
          <w:sz w:val="21"/>
        </w:rPr>
        <w:t>The Company shall maintain the schedules, register material copyrights or patents when advised, record transfers where useful, and preserve evidence of authorship, dates, versions, and public releases. Copyright registration is not a condition to ownership but may affect enforcement remedies.</w:t>
      </w:r>
    </w:p>
    <w:p>
      <w:pPr>
        <w:pStyle w:val="Heading2"/>
        <w:pageBreakBefore w:val="0"/>
      </w:pPr>
      <w:r>
        <w:rPr>
          <w:rFonts w:ascii="Calibri" w:hAnsi="Calibri"/>
          <w:b/>
        </w:rPr>
        <w:t>27. No removal of proper notices</w:t>
      </w:r>
    </w:p>
    <w:p>
      <w:pPr>
        <w:keepLines w:val="0"/>
        <w:widowControl/>
      </w:pPr>
      <w:r>
        <w:rPr>
          <w:rFonts w:ascii="Calibri" w:hAnsi="Calibri"/>
          <w:b w:val="0"/>
          <w:sz w:val="21"/>
        </w:rPr>
        <w:t>The Company may correct inaccurate Company-originated notices but shall not remove accurate third-party copyright, patent, trademark, attribution, or license notices.</w:t>
      </w:r>
    </w:p>
    <w:p>
      <w:pPr>
        <w:pStyle w:val="Heading2"/>
        <w:pageBreakBefore w:val="0"/>
      </w:pPr>
      <w:r>
        <w:rPr>
          <w:rFonts w:ascii="Calibri" w:hAnsi="Calibri"/>
          <w:b/>
        </w:rPr>
        <w:t>28. Contributor controls</w:t>
      </w:r>
    </w:p>
    <w:p>
      <w:pPr>
        <w:keepLines w:val="0"/>
        <w:widowControl/>
      </w:pPr>
      <w:r>
        <w:rPr>
          <w:rFonts w:ascii="Calibri" w:hAnsi="Calibri"/>
          <w:b w:val="0"/>
          <w:sz w:val="21"/>
        </w:rPr>
        <w:t>After execution, no human contribution may be merged without a signed employment, contractor, contributor-license, or assignment arrangement approved by counsel. Bot, AI, and service identities must be mapped to the responsible human/operator and provider account.</w:t>
      </w:r>
    </w:p>
    <w:p>
      <w:pPr>
        <w:pStyle w:val="Heading2"/>
        <w:pageBreakBefore w:val="0"/>
      </w:pPr>
      <w:r>
        <w:rPr>
          <w:rFonts w:ascii="Calibri" w:hAnsi="Calibri"/>
          <w:b/>
        </w:rPr>
        <w:t>29. Security and custody</w:t>
      </w:r>
    </w:p>
    <w:p>
      <w:pPr>
        <w:keepLines w:val="0"/>
        <w:widowControl/>
      </w:pPr>
      <w:r>
        <w:rPr>
          <w:rFonts w:ascii="Calibri" w:hAnsi="Calibri"/>
          <w:b w:val="0"/>
          <w:sz w:val="21"/>
        </w:rPr>
        <w:t>The Company shall control repositories, domains, package scopes, release keys, signing keys, source archives, and recovery methods through Company accounts and individual credentials. Father-paid charges do not alone determine ownership; Schedule 9-H records payer, account holder, user, and desired disposition.</w:t>
      </w:r>
    </w:p>
    <w:p>
      <w:pPr>
        <w:pStyle w:val="Heading1"/>
        <w:pageBreakBefore w:val="0"/>
      </w:pPr>
      <w:r>
        <w:rPr>
          <w:rFonts w:ascii="Calibri" w:hAnsi="Calibri"/>
          <w:b/>
        </w:rPr>
        <w:t>Part I - Parent and manager joinder</w:t>
      </w:r>
    </w:p>
    <w:p>
      <w:pPr>
        <w:pStyle w:val="Heading2"/>
        <w:pageBreakBefore w:val="0"/>
      </w:pPr>
      <w:r>
        <w:rPr>
          <w:rFonts w:ascii="Calibri" w:hAnsi="Calibri"/>
          <w:b/>
        </w:rPr>
        <w:t>30. Parent consent</w:t>
      </w:r>
    </w:p>
    <w:p>
      <w:pPr>
        <w:keepLines w:val="0"/>
        <w:widowControl/>
      </w:pPr>
      <w:r>
        <w:rPr>
          <w:rFonts w:ascii="Calibri" w:hAnsi="Calibri"/>
          <w:b w:val="0"/>
          <w:sz w:val="21"/>
        </w:rPr>
        <w:t>Lakshmi, solely as a parent and only to the extent permitted by the operative custody and legal-decision-making orders, consents to Liam's participation in the counsel-approved process and agrees to facilitate independent advice and required court review. [COUNSEL: review the divorce/custody record and determine whether Vik Thadani's consent, joinder, or notice is required.] Her signature does not purport to assign Liam's property or establish sole parental authority.</w:t>
      </w:r>
    </w:p>
    <w:p>
      <w:pPr>
        <w:pStyle w:val="Heading2"/>
        <w:pageBreakBefore w:val="0"/>
      </w:pPr>
      <w:r>
        <w:rPr>
          <w:rFonts w:ascii="Calibri" w:hAnsi="Calibri"/>
          <w:b/>
        </w:rPr>
        <w:t>31. Company acceptance</w:t>
      </w:r>
    </w:p>
    <w:p>
      <w:pPr>
        <w:keepLines w:val="0"/>
        <w:widowControl/>
      </w:pPr>
      <w:r>
        <w:rPr>
          <w:rFonts w:ascii="Calibri" w:hAnsi="Calibri"/>
          <w:b w:val="0"/>
          <w:sz w:val="21"/>
        </w:rPr>
        <w:t>Lakshmi, solely as Company manager, accepts on behalf of the Company only after all required member, conflict, independent-advice, and court approvals are complete.</w:t>
      </w:r>
    </w:p>
    <w:p>
      <w:pPr>
        <w:pStyle w:val="Heading2"/>
        <w:pageBreakBefore w:val="0"/>
      </w:pPr>
      <w:r>
        <w:rPr>
          <w:rFonts w:ascii="Calibri" w:hAnsi="Calibri"/>
          <w:b/>
        </w:rPr>
        <w:t>32. Noninterference covenant</w:t>
      </w:r>
    </w:p>
    <w:p>
      <w:pPr>
        <w:keepLines w:val="0"/>
        <w:widowControl/>
      </w:pPr>
      <w:r>
        <w:rPr>
          <w:rFonts w:ascii="Calibri" w:hAnsi="Calibri"/>
          <w:b w:val="0"/>
          <w:sz w:val="21"/>
        </w:rPr>
        <w:t>To the extent lawful and supported by consideration, Lakshmi agrees not to encourage disaffirmance, conceal records, divert the Assigned Assets, or make an inconsistent Company disposition. This covenant does not waive Liam's rights or substitute for his adult confirmation.</w:t>
      </w:r>
    </w:p>
    <w:p>
      <w:pPr>
        <w:pStyle w:val="Heading1"/>
        <w:pageBreakBefore w:val="0"/>
      </w:pPr>
      <w:r>
        <w:rPr>
          <w:rFonts w:ascii="Calibri" w:hAnsi="Calibri"/>
          <w:b/>
        </w:rPr>
        <w:t>Part J - Post-majority confirmation and residual assignment</w:t>
      </w:r>
    </w:p>
    <w:p>
      <w:pPr>
        <w:spacing w:before="80" w:after="160" w:line="259" w:lineRule="auto"/>
        <w:ind w:left="202" w:right="115"/>
        <w:shd w:fill="EEF5FA"/>
        <w:pBdr>
          <w:left w:val="single" w:sz="18" w:space="6" w:color="1F4D78"/>
        </w:pBdr>
      </w:pPr>
      <w:r>
        <w:rPr>
          <w:rFonts w:ascii="Calibri" w:hAnsi="Calibri"/>
          <w:b/>
          <w:sz w:val="19"/>
        </w:rPr>
        <w:t>SEPARATE FUTURE FORM - MAY BE SIGNED ONLY AFTER COUNSEL CONFIRMS LIAM HAS ATTAINED MAJORITY</w:t>
      </w:r>
    </w:p>
    <w:p>
      <w:pPr>
        <w:pStyle w:val="Heading2"/>
        <w:pageBreakBefore w:val="0"/>
      </w:pPr>
      <w:r>
        <w:rPr>
          <w:rFonts w:ascii="Calibri" w:hAnsi="Calibri"/>
          <w:b/>
        </w:rPr>
        <w:t>33. Confirmation</w:t>
      </w:r>
    </w:p>
    <w:p>
      <w:pPr>
        <w:keepLines w:val="0"/>
        <w:widowControl/>
      </w:pPr>
      <w:r>
        <w:rPr>
          <w:rFonts w:ascii="Calibri" w:hAnsi="Calibri"/>
          <w:b w:val="0"/>
          <w:sz w:val="21"/>
        </w:rPr>
        <w:t>After independent review, Liam confirms that he has reviewed the historical assignment, license backstop, schedules, consideration, and use made by the Company. To the extent legally permitted, he ratifies and confirms the historical transfer without treating a pre-majority signature as conclusively binding by recital alone.</w:t>
      </w:r>
    </w:p>
    <w:p>
      <w:pPr>
        <w:pStyle w:val="Heading2"/>
        <w:pageBreakBefore w:val="0"/>
      </w:pPr>
      <w:r>
        <w:rPr>
          <w:rFonts w:ascii="Calibri" w:hAnsi="Calibri"/>
          <w:b/>
        </w:rPr>
        <w:t>34. Present residual assignment</w:t>
      </w:r>
    </w:p>
    <w:p>
      <w:pPr>
        <w:keepLines w:val="0"/>
        <w:widowControl/>
      </w:pPr>
      <w:r>
        <w:rPr>
          <w:rFonts w:ascii="Calibri" w:hAnsi="Calibri"/>
          <w:b w:val="0"/>
          <w:sz w:val="21"/>
        </w:rPr>
        <w:t>Liam then hereby assigns to the Company any right, title, and interest in the Assigned Assets that did not validly pass earlier, including omitted historical items within the agreed scope and rights acquired or confirmed after the earlier instrument.</w:t>
      </w:r>
    </w:p>
    <w:p>
      <w:pPr>
        <w:pStyle w:val="Heading2"/>
        <w:pageBreakBefore w:val="0"/>
      </w:pPr>
      <w:r>
        <w:rPr>
          <w:rFonts w:ascii="Calibri" w:hAnsi="Calibri"/>
          <w:b/>
        </w:rPr>
        <w:t>35. Confirmation of sublicenses and exploitation</w:t>
      </w:r>
    </w:p>
    <w:p>
      <w:pPr>
        <w:keepLines w:val="0"/>
        <w:widowControl/>
      </w:pPr>
      <w:r>
        <w:rPr>
          <w:rFonts w:ascii="Calibri" w:hAnsi="Calibri"/>
          <w:b w:val="0"/>
          <w:sz w:val="21"/>
        </w:rPr>
        <w:t>Liam confirms Company licenses and exploitation undertaken in good-faith reliance on the earlier documents, except conduct specifically listed as disputed on [ADULT CONFIRMATION SCHEDULE].</w:t>
      </w:r>
    </w:p>
    <w:p>
      <w:pPr>
        <w:pStyle w:val="Heading2"/>
        <w:pageBreakBefore w:val="0"/>
      </w:pPr>
      <w:r>
        <w:rPr>
          <w:rFonts w:ascii="Calibri" w:hAnsi="Calibri"/>
          <w:b/>
        </w:rPr>
        <w:t>36. No waiver of nonwaivable rights</w:t>
      </w:r>
    </w:p>
    <w:p>
      <w:pPr>
        <w:keepLines w:val="0"/>
        <w:widowControl/>
      </w:pPr>
      <w:r>
        <w:rPr>
          <w:rFonts w:ascii="Calibri" w:hAnsi="Calibri"/>
          <w:b w:val="0"/>
          <w:sz w:val="21"/>
        </w:rPr>
        <w:t>Nothing purports to waive a right that federal or state law makes nonwaivable, including any applicable termination right under 17 U.S.C. Section 203. Counsel shall not include a blanket waiver that overstates enforceability.</w:t>
      </w:r>
    </w:p>
    <w:p>
      <w:pPr>
        <w:pStyle w:val="Heading2"/>
        <w:pageBreakBefore w:val="0"/>
      </w:pPr>
      <w:r>
        <w:rPr>
          <w:rFonts w:ascii="Calibri" w:hAnsi="Calibri"/>
          <w:b/>
        </w:rPr>
        <w:t>37. No release without independent advice</w:t>
      </w:r>
    </w:p>
    <w:p>
      <w:pPr>
        <w:keepLines w:val="0"/>
        <w:widowControl/>
      </w:pPr>
      <w:r>
        <w:rPr>
          <w:rFonts w:ascii="Calibri" w:hAnsi="Calibri"/>
          <w:b w:val="0"/>
          <w:sz w:val="21"/>
        </w:rPr>
        <w:t>[COUNSEL: decide whether any release is appropriate, whether it needs separate consideration, and whether Liam must have independent counsel. Do not include a general release by default.]</w:t>
      </w:r>
    </w:p>
    <w:p>
      <w:pPr>
        <w:pStyle w:val="Heading1"/>
        <w:pageBreakBefore/>
      </w:pPr>
      <w:r>
        <w:rPr>
          <w:rFonts w:ascii="Calibri" w:hAnsi="Calibri"/>
          <w:b/>
        </w:rPr>
        <w:t>Schedule 9-A - Core historical asset schedule</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854"/>
        <w:gridCol w:w="1423"/>
        <w:gridCol w:w="1423"/>
        <w:gridCol w:w="1391"/>
        <w:gridCol w:w="1423"/>
        <w:gridCol w:w="1423"/>
        <w:gridCol w:w="1423"/>
      </w:tblGrid>
      <w:tr>
        <w:trPr>
          <w:cantSplit w:val="true"/>
          <w:tblHeader w:val="true"/>
        </w:trPr>
        <w:tc>
          <w:tcPr>
            <w:tcW w:type="dxa" w:w="854"/>
            <w:vAlign w:val="center"/>
            <w:shd w:fill="1F4D78"/>
            <w:tcMar>
              <w:top w:w="80" w:type="dxa"/>
              <w:bottom w:w="80" w:type="dxa"/>
              <w:start w:w="120" w:type="dxa"/>
              <w:end w:w="120" w:type="dxa"/>
            </w:tcMar>
          </w:tcPr>
          <w:p>
            <w:pPr>
              <w:pStyle w:val="TableText"/>
              <w:jc w:val="left"/>
            </w:pPr>
            <w:r>
              <w:rPr>
                <w:rFonts w:ascii="Calibri" w:hAnsi="Calibri"/>
                <w:b/>
                <w:color w:val="FFFFFF"/>
                <w:sz w:val="17"/>
              </w:rPr>
              <w:t>Asset category</w:t>
            </w:r>
          </w:p>
        </w:tc>
        <w:tc>
          <w:tcPr>
            <w:tcW w:type="dxa" w:w="1423"/>
            <w:vAlign w:val="center"/>
            <w:shd w:fill="1F4D78"/>
            <w:tcMar>
              <w:top w:w="80" w:type="dxa"/>
              <w:bottom w:w="80" w:type="dxa"/>
              <w:start w:w="120" w:type="dxa"/>
              <w:end w:w="120" w:type="dxa"/>
            </w:tcMar>
          </w:tcPr>
          <w:p>
            <w:pPr>
              <w:pStyle w:val="TableText"/>
              <w:jc w:val="left"/>
            </w:pPr>
            <w:r>
              <w:rPr>
                <w:rFonts w:ascii="Calibri" w:hAnsi="Calibri"/>
                <w:b/>
                <w:color w:val="FFFFFF"/>
                <w:sz w:val="17"/>
              </w:rPr>
              <w:t>Identifier/location</w:t>
            </w:r>
          </w:p>
        </w:tc>
        <w:tc>
          <w:tcPr>
            <w:tcW w:type="dxa" w:w="1423"/>
            <w:vAlign w:val="center"/>
            <w:shd w:fill="1F4D78"/>
            <w:tcMar>
              <w:top w:w="80" w:type="dxa"/>
              <w:bottom w:w="80" w:type="dxa"/>
              <w:start w:w="120" w:type="dxa"/>
              <w:end w:w="120" w:type="dxa"/>
            </w:tcMar>
          </w:tcPr>
          <w:p>
            <w:pPr>
              <w:pStyle w:val="TableText"/>
              <w:jc w:val="left"/>
            </w:pPr>
            <w:r>
              <w:rPr>
                <w:rFonts w:ascii="Calibri" w:hAnsi="Calibri"/>
                <w:b/>
                <w:color w:val="FFFFFF"/>
                <w:sz w:val="17"/>
              </w:rPr>
              <w:t>Creation/date range</w:t>
            </w:r>
          </w:p>
        </w:tc>
        <w:tc>
          <w:tcPr>
            <w:tcW w:type="dxa" w:w="1391"/>
            <w:vAlign w:val="center"/>
            <w:shd w:fill="1F4D78"/>
            <w:tcMar>
              <w:top w:w="80" w:type="dxa"/>
              <w:bottom w:w="80" w:type="dxa"/>
              <w:start w:w="120" w:type="dxa"/>
              <w:end w:w="120" w:type="dxa"/>
            </w:tcMar>
          </w:tcPr>
          <w:p>
            <w:pPr>
              <w:pStyle w:val="TableText"/>
              <w:jc w:val="left"/>
            </w:pPr>
            <w:r>
              <w:rPr>
                <w:rFonts w:ascii="Calibri" w:hAnsi="Calibri"/>
                <w:b/>
                <w:color w:val="FFFFFF"/>
                <w:sz w:val="17"/>
              </w:rPr>
              <w:t>Principal known author</w:t>
            </w:r>
          </w:p>
        </w:tc>
        <w:tc>
          <w:tcPr>
            <w:tcW w:type="dxa" w:w="1423"/>
            <w:vAlign w:val="center"/>
            <w:shd w:fill="1F4D78"/>
            <w:tcMar>
              <w:top w:w="80" w:type="dxa"/>
              <w:bottom w:w="80" w:type="dxa"/>
              <w:start w:w="120" w:type="dxa"/>
              <w:end w:w="120" w:type="dxa"/>
            </w:tcMar>
          </w:tcPr>
          <w:p>
            <w:pPr>
              <w:pStyle w:val="TableText"/>
              <w:jc w:val="left"/>
            </w:pPr>
            <w:r>
              <w:rPr>
                <w:rFonts w:ascii="Calibri" w:hAnsi="Calibri"/>
                <w:b/>
                <w:color w:val="FFFFFF"/>
                <w:sz w:val="17"/>
              </w:rPr>
              <w:t>Current legal/account holder</w:t>
            </w:r>
          </w:p>
        </w:tc>
        <w:tc>
          <w:tcPr>
            <w:tcW w:type="dxa" w:w="1423"/>
            <w:vAlign w:val="center"/>
            <w:shd w:fill="1F4D78"/>
            <w:tcMar>
              <w:top w:w="80" w:type="dxa"/>
              <w:bottom w:w="80" w:type="dxa"/>
              <w:start w:w="120" w:type="dxa"/>
              <w:end w:w="120" w:type="dxa"/>
            </w:tcMar>
          </w:tcPr>
          <w:p>
            <w:pPr>
              <w:pStyle w:val="TableText"/>
              <w:jc w:val="left"/>
            </w:pPr>
            <w:r>
              <w:rPr>
                <w:rFonts w:ascii="Calibri" w:hAnsi="Calibri"/>
                <w:b/>
                <w:color w:val="FFFFFF"/>
                <w:sz w:val="17"/>
              </w:rPr>
              <w:t>Assigned/excluded</w:t>
            </w:r>
          </w:p>
        </w:tc>
        <w:tc>
          <w:tcPr>
            <w:tcW w:type="dxa" w:w="1423"/>
            <w:vAlign w:val="center"/>
            <w:shd w:fill="1F4D78"/>
            <w:tcMar>
              <w:top w:w="80" w:type="dxa"/>
              <w:bottom w:w="80" w:type="dxa"/>
              <w:start w:w="120" w:type="dxa"/>
              <w:end w:w="120" w:type="dxa"/>
            </w:tcMar>
          </w:tcPr>
          <w:p>
            <w:pPr>
              <w:pStyle w:val="TableText"/>
              <w:jc w:val="left"/>
            </w:pPr>
            <w:r>
              <w:rPr>
                <w:rFonts w:ascii="Calibri" w:hAnsi="Calibri"/>
                <w:b/>
                <w:color w:val="FFFFFF"/>
                <w:sz w:val="17"/>
              </w:rPr>
              <w:t>Evidence and open issue</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Private monorepo</w:t>
            </w:r>
          </w:p>
        </w:tc>
        <w:tc>
          <w:tcPr>
            <w:tcW w:type="dxa" w:w="1423"/>
            <w:vAlign w:val="top"/>
            <w:tcMar>
              <w:top w:w="80" w:type="dxa"/>
              <w:bottom w:w="80" w:type="dxa"/>
              <w:start w:w="120" w:type="dxa"/>
              <w:end w:w="120" w:type="dxa"/>
            </w:tcMar>
          </w:tcPr>
          <w:p>
            <w:pPr>
              <w:pStyle w:val="TableText"/>
              <w:jc w:val="left"/>
            </w:pPr>
            <w:r>
              <w:rPr>
                <w:rFonts w:ascii="Consolas" w:hAnsi="Consolas"/>
                <w:color w:val="1F4D78"/>
                <w:sz w:val="17"/>
              </w:rPr>
              <w:t>caisson-sh/caisson</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First Caisson commit reported June 27, 2026; current range [GIT REPORT]</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Liam; AI-assisted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Current git bundle, commit map, provider export</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Public-mirror candidate</w:t>
            </w:r>
          </w:p>
        </w:tc>
        <w:tc>
          <w:tcPr>
            <w:tcW w:type="dxa" w:w="1423"/>
            <w:vAlign w:val="top"/>
            <w:tcMar>
              <w:top w:w="80" w:type="dxa"/>
              <w:bottom w:w="80" w:type="dxa"/>
              <w:start w:w="120" w:type="dxa"/>
              <w:end w:w="120" w:type="dxa"/>
            </w:tcMar>
          </w:tcPr>
          <w:p>
            <w:pPr>
              <w:pStyle w:val="TableText"/>
              <w:jc w:val="left"/>
            </w:pPr>
            <w:r>
              <w:rPr>
                <w:rFonts w:ascii="Consolas" w:hAnsi="Consolas"/>
                <w:color w:val="1F4D78"/>
                <w:sz w:val="17"/>
              </w:rPr>
              <w:t>caisson-sh/caisson-oss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Reported as private in internal records; visibility history [ATTACH]</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Derived exporter output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No public source release established in checked channel</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Preserve visibility audit log and workflow history</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Open package set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Schedule 9-B</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Dates/versions per manifests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Liam; AI-assisted; predecessors per schedule</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Company/repo account [LEGAL TITLE UNRESOLVED]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15/16 and notice mismatch</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Commercial packages/bundles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[PACKAGE LIST/COMMIT RANGES]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Separate proprietary boundary review</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Site and docs</w:t>
            </w:r>
          </w:p>
        </w:tc>
        <w:tc>
          <w:tcPr>
            <w:tcW w:type="dxa" w:w="1423"/>
            <w:vAlign w:val="top"/>
            <w:tcMar>
              <w:top w:w="80" w:type="dxa"/>
              <w:bottom w:w="80" w:type="dxa"/>
              <w:start w:w="120" w:type="dxa"/>
              <w:end w:w="120" w:type="dxa"/>
            </w:tcMar>
          </w:tcPr>
          <w:p>
            <w:pPr>
              <w:pStyle w:val="TableText"/>
              <w:jc w:val="left"/>
            </w:pPr>
            <w:r>
              <w:rPr>
                <w:rFonts w:ascii="Consolas" w:hAnsi="Consolas"/>
                <w:color w:val="1F4D78"/>
                <w:sz w:val="17"/>
              </w:rPr>
              <w:t>apps/site</w:t>
            </w:r>
            <w:r>
              <w:rPr>
                <w:rFonts w:ascii="Calibri" w:hAnsi="Calibri"/>
                <w:b w:val="0"/>
                <w:sz w:val="18"/>
              </w:rPr>
              <w:t xml:space="preserve">, </w:t>
            </w:r>
            <w:r>
              <w:rPr>
                <w:rFonts w:ascii="Consolas" w:hAnsi="Consolas"/>
                <w:color w:val="1F4D78"/>
                <w:sz w:val="17"/>
              </w:rPr>
              <w:t>apps/site/content/docs</w:t>
            </w:r>
            <w:r>
              <w:rPr>
                <w:rFonts w:ascii="Calibri" w:hAnsi="Calibri"/>
                <w:b w:val="0"/>
                <w:sz w:val="18"/>
              </w:rPr>
              <w:t xml:space="preserve">, public </w:t>
            </w:r>
            <w:r>
              <w:rPr>
                <w:rFonts w:ascii="Consolas" w:hAnsi="Consolas"/>
                <w:color w:val="1F4D78"/>
                <w:sz w:val="17"/>
              </w:rPr>
              <w:t>caisson.sh</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Public July 10, 2026; ownership statements live</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Legal and product copy</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EULA, Terms, Privacy, license page, pricing, policies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 legal text subject to advisor work</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Pending final legal review notice</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Brand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Caisson name, code-native glyph/wordmark, icons, diagrams, design tokens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to extent Liam-owned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Source files, AI/design provenance, trademark review</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Domains</w:t>
            </w:r>
          </w:p>
        </w:tc>
        <w:tc>
          <w:tcPr>
            <w:tcW w:type="dxa" w:w="1423"/>
            <w:vAlign w:val="top"/>
            <w:tcMar>
              <w:top w:w="80" w:type="dxa"/>
              <w:bottom w:w="80" w:type="dxa"/>
              <w:start w:w="120" w:type="dxa"/>
              <w:end w:w="120" w:type="dxa"/>
            </w:tcMar>
          </w:tcPr>
          <w:p>
            <w:pPr>
              <w:pStyle w:val="TableText"/>
              <w:jc w:val="left"/>
            </w:pPr>
            <w:r>
              <w:rPr>
                <w:rFonts w:ascii="Consolas" w:hAnsi="Consolas"/>
                <w:color w:val="1F4D78"/>
                <w:sz w:val="17"/>
              </w:rPr>
              <w:t>caisson.sh</w:t>
            </w:r>
            <w:r>
              <w:rPr>
                <w:rFonts w:ascii="Calibri" w:hAnsi="Calibri"/>
                <w:b w:val="0"/>
                <w:sz w:val="18"/>
              </w:rPr>
              <w:t xml:space="preserve"> and subdomains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[REGISTRAR RECORD]</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Not applicable</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[REGISTRANT]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Contractual transfer/Company control</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Registrar, payer, renewal, recovery</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Package scopes</w:t>
            </w:r>
          </w:p>
        </w:tc>
        <w:tc>
          <w:tcPr>
            <w:tcW w:type="dxa" w:w="1423"/>
            <w:vAlign w:val="top"/>
            <w:tcMar>
              <w:top w:w="80" w:type="dxa"/>
              <w:bottom w:w="80" w:type="dxa"/>
              <w:start w:w="120" w:type="dxa"/>
              <w:end w:w="120" w:type="dxa"/>
            </w:tcMar>
          </w:tcPr>
          <w:p>
            <w:pPr>
              <w:pStyle w:val="TableText"/>
              <w:jc w:val="left"/>
            </w:pPr>
            <w:r>
              <w:rPr>
                <w:rFonts w:ascii="Consolas" w:hAnsi="Consolas"/>
                <w:color w:val="1F4D78"/>
                <w:sz w:val="17"/>
              </w:rPr>
              <w:t>@caisson/*</w:t>
            </w:r>
            <w:r>
              <w:rPr>
                <w:rFonts w:ascii="Calibri" w:hAnsi="Calibri"/>
                <w:b w:val="0"/>
                <w:sz w:val="18"/>
              </w:rPr>
              <w:t xml:space="preserve">, </w:t>
            </w:r>
            <w:r>
              <w:rPr>
                <w:rFonts w:ascii="Consolas" w:hAnsi="Consolas"/>
                <w:color w:val="1F4D78"/>
                <w:sz w:val="17"/>
              </w:rPr>
              <w:t>@caisson-sh/*</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[PROVIDER RECORD]</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Not applicable</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HOLDER]</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Account/platform rights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npm/registry owner and token history</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Infrastructure</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Cloudflare, Railway, registry, deployment manifests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HOLDER]</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Code assigned; provider accounts separately transferred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Payer/admin/recovery records</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Repositories and CI</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GitHub org, workflows, release automation</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[ACCOUNT HOLDER]</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Code assigned; account rights separately transferred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Bot identities and secrets custody</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Data and fixtures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Test fixtures, catalogs, control mappings, sample data</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Assigned/excluded by row</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Source, license, privacy, clean-room evidence</w:t>
            </w:r>
          </w:p>
        </w:tc>
      </w:tr>
      <w:tr>
        <w:trPr>
          <w:cantSplit w:val="true"/>
        </w:trPr>
        <w:tc>
          <w:tcPr>
            <w:tcW w:type="dxa" w:w="854"/>
            <w:vAlign w:val="top"/>
            <w:tcMar>
              <w:top w:w="80" w:type="dxa"/>
              <w:bottom w:w="80" w:type="dxa"/>
              <w:start w:w="120" w:type="dxa"/>
              <w:end w:w="120" w:type="dxa"/>
            </w:tcMar>
          </w:tcPr>
          <w:p>
            <w:pPr>
              <w:pStyle w:val="TableText"/>
              <w:jc w:val="left"/>
            </w:pPr>
            <w:r>
              <w:rPr>
                <w:rFonts w:ascii="Calibri" w:hAnsi="Calibri"/>
                <w:b w:val="0"/>
                <w:sz w:val="18"/>
              </w:rPr>
              <w:t>Media/fonts/assets</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391"/>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Assigned or third-party licensed</w:t>
            </w:r>
          </w:p>
        </w:tc>
        <w:tc>
          <w:tcPr>
            <w:tcW w:type="dxa" w:w="1423"/>
            <w:vAlign w:val="top"/>
            <w:tcMar>
              <w:top w:w="80" w:type="dxa"/>
              <w:bottom w:w="80" w:type="dxa"/>
              <w:start w:w="120" w:type="dxa"/>
              <w:end w:w="120" w:type="dxa"/>
            </w:tcMar>
          </w:tcPr>
          <w:p>
            <w:pPr>
              <w:pStyle w:val="TableText"/>
              <w:jc w:val="left"/>
            </w:pPr>
            <w:r>
              <w:rPr>
                <w:rFonts w:ascii="Calibri" w:hAnsi="Calibri"/>
                <w:b w:val="0"/>
                <w:sz w:val="18"/>
              </w:rPr>
              <w:t>License receipts/source files</w:t>
            </w:r>
          </w:p>
        </w:tc>
      </w:tr>
    </w:tbl>
    <w:p>
      <w:pPr>
        <w:spacing w:after="40"/>
      </w:pPr>
    </w:p>
    <w:p>
      <w:pPr>
        <w:pStyle w:val="Heading1"/>
        <w:pageBreakBefore/>
      </w:pPr>
      <w:r>
        <w:rPr>
          <w:rFonts w:ascii="Calibri" w:hAnsi="Calibri"/>
          <w:b/>
        </w:rPr>
        <w:t>Schedule 9-B - Apache package and public-status reconciliation</w:t>
      </w:r>
    </w:p>
    <w:p>
      <w:pPr>
        <w:keepLines w:val="0"/>
        <w:widowControl/>
      </w:pPr>
      <w:r>
        <w:rPr>
          <w:rFonts w:ascii="Calibri" w:hAnsi="Calibri"/>
          <w:b w:val="0"/>
          <w:sz w:val="21"/>
        </w:rPr>
        <w:t xml:space="preserve">As of the reviewed source snapshot, each row carries </w:t>
      </w:r>
      <w:r>
        <w:rPr>
          <w:rFonts w:ascii="Consolas" w:hAnsi="Consolas"/>
          <w:color w:val="1F4D78"/>
          <w:sz w:val="20"/>
        </w:rPr>
        <w:t>license: Apache-2.0</w:t>
      </w:r>
      <w:r>
        <w:rPr>
          <w:rFonts w:ascii="Calibri" w:hAnsi="Calibri"/>
          <w:b w:val="0"/>
          <w:sz w:val="21"/>
        </w:rPr>
        <w:t>, a manifest configuration intended for public access, and a package-level LICENSE containing the GridWork Digital LLC notice that Liam reports is stale. Configuration is not proof of publication. The checked public channels did not provide downloadable source on July 11, 2026.</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164"/>
        <w:gridCol w:w="717"/>
        <w:gridCol w:w="1747"/>
        <w:gridCol w:w="1702"/>
        <w:gridCol w:w="2015"/>
        <w:gridCol w:w="2015"/>
      </w:tblGrid>
      <w:tr>
        <w:trPr>
          <w:cantSplit w:val="true"/>
          <w:tblHeader w:val="true"/>
        </w:trPr>
        <w:tc>
          <w:tcPr>
            <w:tcW w:type="dxa" w:w="1164"/>
            <w:vAlign w:val="center"/>
            <w:shd w:fill="1F4D78"/>
            <w:tcMar>
              <w:top w:w="80" w:type="dxa"/>
              <w:bottom w:w="80" w:type="dxa"/>
              <w:start w:w="120" w:type="dxa"/>
              <w:end w:w="120" w:type="dxa"/>
            </w:tcMar>
          </w:tcPr>
          <w:p>
            <w:pPr>
              <w:pStyle w:val="TableText"/>
              <w:jc w:val="left"/>
            </w:pPr>
            <w:r>
              <w:rPr>
                <w:rFonts w:ascii="Calibri" w:hAnsi="Calibri"/>
                <w:b/>
                <w:color w:val="FFFFFF"/>
                <w:sz w:val="17"/>
              </w:rPr>
              <w:t>Package</w:t>
            </w:r>
          </w:p>
        </w:tc>
        <w:tc>
          <w:tcPr>
            <w:tcW w:type="dxa" w:w="717"/>
            <w:vAlign w:val="center"/>
            <w:shd w:fill="1F4D78"/>
            <w:tcMar>
              <w:top w:w="80" w:type="dxa"/>
              <w:bottom w:w="80" w:type="dxa"/>
              <w:start w:w="120" w:type="dxa"/>
              <w:end w:w="120" w:type="dxa"/>
            </w:tcMar>
          </w:tcPr>
          <w:p>
            <w:pPr>
              <w:pStyle w:val="TableText"/>
              <w:jc w:val="left"/>
            </w:pPr>
            <w:r>
              <w:rPr>
                <w:rFonts w:ascii="Calibri" w:hAnsi="Calibri"/>
                <w:b/>
                <w:color w:val="FFFFFF"/>
                <w:sz w:val="17"/>
              </w:rPr>
              <w:t>Reviewed version</w:t>
            </w:r>
          </w:p>
        </w:tc>
        <w:tc>
          <w:tcPr>
            <w:tcW w:type="dxa" w:w="1747"/>
            <w:vAlign w:val="center"/>
            <w:shd w:fill="1F4D78"/>
            <w:tcMar>
              <w:top w:w="80" w:type="dxa"/>
              <w:bottom w:w="80" w:type="dxa"/>
              <w:start w:w="120" w:type="dxa"/>
              <w:end w:w="120" w:type="dxa"/>
            </w:tcMar>
          </w:tcPr>
          <w:p>
            <w:pPr>
              <w:pStyle w:val="TableText"/>
              <w:jc w:val="left"/>
            </w:pPr>
            <w:r>
              <w:rPr>
                <w:rFonts w:ascii="Calibri" w:hAnsi="Calibri"/>
                <w:b/>
                <w:color w:val="FFFFFF"/>
                <w:sz w:val="17"/>
              </w:rPr>
              <w:t>Named on public 15-package license page</w:t>
            </w:r>
          </w:p>
        </w:tc>
        <w:tc>
          <w:tcPr>
            <w:tcW w:type="dxa" w:w="1702"/>
            <w:vAlign w:val="center"/>
            <w:shd w:fill="1F4D78"/>
            <w:tcMar>
              <w:top w:w="80" w:type="dxa"/>
              <w:bottom w:w="80" w:type="dxa"/>
              <w:start w:w="120" w:type="dxa"/>
              <w:end w:w="120" w:type="dxa"/>
            </w:tcMar>
          </w:tcPr>
          <w:p>
            <w:pPr>
              <w:pStyle w:val="TableText"/>
              <w:jc w:val="left"/>
            </w:pPr>
            <w:r>
              <w:rPr>
                <w:rFonts w:ascii="Calibri" w:hAnsi="Calibri"/>
                <w:b/>
                <w:color w:val="FFFFFF"/>
                <w:sz w:val="17"/>
              </w:rPr>
              <w:t>Exposed in anonymous registry metadata</w:t>
            </w:r>
          </w:p>
        </w:tc>
        <w:tc>
          <w:tcPr>
            <w:tcW w:type="dxa" w:w="2015"/>
            <w:vAlign w:val="center"/>
            <w:shd w:fill="1F4D78"/>
            <w:tcMar>
              <w:top w:w="80" w:type="dxa"/>
              <w:bottom w:w="80" w:type="dxa"/>
              <w:start w:w="120" w:type="dxa"/>
              <w:end w:w="120" w:type="dxa"/>
            </w:tcMar>
          </w:tcPr>
          <w:p>
            <w:pPr>
              <w:pStyle w:val="TableText"/>
              <w:jc w:val="left"/>
            </w:pPr>
            <w:r>
              <w:rPr>
                <w:rFonts w:ascii="Calibri" w:hAnsi="Calibri"/>
                <w:b/>
                <w:color w:val="FFFFFF"/>
                <w:sz w:val="17"/>
              </w:rPr>
              <w:t>Public source downloadable in checked channels</w:t>
            </w:r>
          </w:p>
        </w:tc>
        <w:tc>
          <w:tcPr>
            <w:tcW w:type="dxa" w:w="2015"/>
            <w:vAlign w:val="center"/>
            <w:shd w:fill="1F4D78"/>
            <w:tcMar>
              <w:top w:w="80" w:type="dxa"/>
              <w:bottom w:w="80" w:type="dxa"/>
              <w:start w:w="120" w:type="dxa"/>
              <w:end w:w="120" w:type="dxa"/>
            </w:tcMar>
          </w:tcPr>
          <w:p>
            <w:pPr>
              <w:pStyle w:val="TableText"/>
              <w:jc w:val="left"/>
            </w:pPr>
            <w:r>
              <w:rPr>
                <w:rFonts w:ascii="Calibri" w:hAnsi="Calibri"/>
                <w:b/>
                <w:color w:val="FFFFFF"/>
                <w:sz w:val="17"/>
              </w:rPr>
              <w:t>Required action</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@caisson/kernel</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0.4.2</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Title/notice/release review</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@caisson/auth</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0.3.1</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@caisson/tenancy-rls</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0.5.0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@caisson/ui</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0.5.0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@caisson/billing</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0.5.0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@caisson/jobs</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0.4.1</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@caisson/email</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0.3.0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@caisson/ai-config</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0.3.0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@caisson/mcp-server</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0.2.5</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@caisson/registry-schema</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0.4.0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@caisson/observability</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0.2.4</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@caisson/rate-limit</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0.1.2</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@caisson/cli</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0.4.0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 live install claim currently unresolved</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@caisson/migrate</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0.2.4</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@caisson/license-verify</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0.3.0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164"/>
            <w:vAlign w:val="top"/>
            <w:tcMar>
              <w:top w:w="80" w:type="dxa"/>
              <w:bottom w:w="80" w:type="dxa"/>
              <w:start w:w="120" w:type="dxa"/>
              <w:end w:w="120" w:type="dxa"/>
            </w:tcMar>
          </w:tcPr>
          <w:p>
            <w:pPr>
              <w:pStyle w:val="TableText"/>
              <w:jc w:val="left"/>
            </w:pPr>
            <w:r>
              <w:rPr>
                <w:rFonts w:ascii="Consolas" w:hAnsi="Consolas"/>
                <w:color w:val="1F4D78"/>
                <w:sz w:val="17"/>
              </w:rPr>
              <w:t>@caisson/analytics</w:t>
            </w:r>
          </w:p>
        </w:tc>
        <w:tc>
          <w:tcPr>
            <w:tcW w:type="dxa" w:w="717"/>
            <w:vAlign w:val="top"/>
            <w:tcMar>
              <w:top w:w="80" w:type="dxa"/>
              <w:bottom w:w="80" w:type="dxa"/>
              <w:start w:w="120" w:type="dxa"/>
              <w:end w:w="120" w:type="dxa"/>
            </w:tcMar>
          </w:tcPr>
          <w:p>
            <w:pPr>
              <w:pStyle w:val="TableText"/>
              <w:jc w:val="left"/>
            </w:pPr>
            <w:r>
              <w:rPr>
                <w:rFonts w:ascii="Calibri" w:hAnsi="Calibri"/>
                <w:b w:val="0"/>
                <w:sz w:val="18"/>
              </w:rPr>
              <w:t>0.1.0</w:t>
            </w:r>
          </w:p>
        </w:tc>
        <w:tc>
          <w:tcPr>
            <w:tcW w:type="dxa" w:w="1747"/>
            <w:vAlign w:val="top"/>
            <w:tcMar>
              <w:top w:w="80" w:type="dxa"/>
              <w:bottom w:w="80" w:type="dxa"/>
              <w:start w:w="120" w:type="dxa"/>
              <w:end w:w="120" w:type="dxa"/>
            </w:tcMar>
          </w:tcPr>
          <w:p>
            <w:pPr>
              <w:pStyle w:val="TableText"/>
              <w:jc w:val="left"/>
            </w:pPr>
            <w:r>
              <w:rPr>
                <w:rFonts w:ascii="Calibri" w:hAnsi="Calibri"/>
                <w:b w:val="0"/>
                <w:sz w:val="18"/>
              </w:rPr>
              <w:t>No</w:t>
            </w:r>
          </w:p>
        </w:tc>
        <w:tc>
          <w:tcPr>
            <w:tcW w:type="dxa" w:w="1702"/>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No evidence</w:t>
            </w:r>
          </w:p>
        </w:tc>
        <w:tc>
          <w:tcPr>
            <w:tcW w:type="dxa" w:w="2015"/>
            <w:vAlign w:val="top"/>
            <w:tcMar>
              <w:top w:w="80" w:type="dxa"/>
              <w:bottom w:w="80" w:type="dxa"/>
              <w:start w:w="120" w:type="dxa"/>
              <w:end w:w="120" w:type="dxa"/>
            </w:tcMar>
          </w:tcPr>
          <w:p>
            <w:pPr>
              <w:pStyle w:val="TableText"/>
              <w:jc w:val="left"/>
            </w:pPr>
            <w:r>
              <w:rPr>
                <w:rFonts w:ascii="Calibri" w:hAnsi="Calibri"/>
                <w:b w:val="0"/>
                <w:sz w:val="18"/>
              </w:rPr>
              <w:t>Decide whether 16th open package; reconcile all copy</w:t>
            </w:r>
          </w:p>
        </w:tc>
      </w:tr>
    </w:tbl>
    <w:p>
      <w:pPr>
        <w:spacing w:after="40"/>
      </w:pPr>
    </w:p>
    <w:p>
      <w:pPr>
        <w:keepLines w:val="0"/>
        <w:widowControl/>
      </w:pPr>
      <w:r>
        <w:rPr>
          <w:rFonts w:ascii="Calibri" w:hAnsi="Calibri"/>
          <w:b w:val="0"/>
          <w:sz w:val="21"/>
        </w:rPr>
        <w:t>[TECH/COUNSEL: regenerate this table from the release commit before execution. Versions and channel status are time-sensitive.]</w:t>
      </w:r>
    </w:p>
    <w:p>
      <w:pPr>
        <w:pStyle w:val="Heading1"/>
        <w:pageBreakBefore/>
      </w:pPr>
      <w:r>
        <w:rPr>
          <w:rFonts w:ascii="Calibri" w:hAnsi="Calibri"/>
          <w:b/>
        </w:rPr>
        <w:t>Schedule 9-C - Predecessor and pattern-source provenance</w:t>
      </w:r>
    </w:p>
    <w:p>
      <w:pPr>
        <w:keepLines w:val="0"/>
        <w:widowControl/>
      </w:pPr>
      <w:r>
        <w:rPr>
          <w:rFonts w:ascii="Calibri" w:hAnsi="Calibri"/>
          <w:b w:val="0"/>
          <w:sz w:val="21"/>
        </w:rPr>
        <w:t>The source record describes "rebuild-clean" and "patterns/ideas transfer; implementation never." That internal statement is not a substitute for file comparison and ownership evidence.</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302"/>
        <w:gridCol w:w="2302"/>
        <w:gridCol w:w="1841"/>
        <w:gridCol w:w="1995"/>
        <w:gridCol w:w="920"/>
      </w:tblGrid>
      <w:tr>
        <w:trPr>
          <w:cantSplit w:val="true"/>
          <w:tblHeader w:val="true"/>
        </w:trPr>
        <w:tc>
          <w:tcPr>
            <w:tcW w:type="dxa" w:w="2302"/>
            <w:vAlign w:val="center"/>
            <w:shd w:fill="1F4D78"/>
            <w:tcMar>
              <w:top w:w="80" w:type="dxa"/>
              <w:bottom w:w="80" w:type="dxa"/>
              <w:start w:w="120" w:type="dxa"/>
              <w:end w:w="120" w:type="dxa"/>
            </w:tcMar>
          </w:tcPr>
          <w:p>
            <w:pPr>
              <w:pStyle w:val="TableText"/>
              <w:jc w:val="left"/>
            </w:pPr>
            <w:r>
              <w:rPr>
                <w:rFonts w:ascii="Calibri" w:hAnsi="Calibri"/>
                <w:b/>
                <w:color w:val="FFFFFF"/>
                <w:sz w:val="17"/>
              </w:rPr>
              <w:t>Repository/source</w:t>
            </w:r>
          </w:p>
        </w:tc>
        <w:tc>
          <w:tcPr>
            <w:tcW w:type="dxa" w:w="2302"/>
            <w:vAlign w:val="center"/>
            <w:shd w:fill="1F4D78"/>
            <w:tcMar>
              <w:top w:w="80" w:type="dxa"/>
              <w:bottom w:w="80" w:type="dxa"/>
              <w:start w:w="120" w:type="dxa"/>
              <w:end w:w="120" w:type="dxa"/>
            </w:tcMar>
          </w:tcPr>
          <w:p>
            <w:pPr>
              <w:pStyle w:val="TableText"/>
              <w:jc w:val="left"/>
            </w:pPr>
            <w:r>
              <w:rPr>
                <w:rFonts w:ascii="Calibri" w:hAnsi="Calibri"/>
                <w:b/>
                <w:color w:val="FFFFFF"/>
                <w:sz w:val="17"/>
              </w:rPr>
              <w:t>Documented Caisson lineage or use</w:t>
            </w:r>
          </w:p>
        </w:tc>
        <w:tc>
          <w:tcPr>
            <w:tcW w:type="dxa" w:w="1841"/>
            <w:vAlign w:val="center"/>
            <w:shd w:fill="1F4D78"/>
            <w:tcMar>
              <w:top w:w="80" w:type="dxa"/>
              <w:bottom w:w="80" w:type="dxa"/>
              <w:start w:w="120" w:type="dxa"/>
              <w:end w:w="120" w:type="dxa"/>
            </w:tcMar>
          </w:tcPr>
          <w:p>
            <w:pPr>
              <w:pStyle w:val="TableText"/>
              <w:jc w:val="left"/>
            </w:pPr>
            <w:r>
              <w:rPr>
                <w:rFonts w:ascii="Calibri" w:hAnsi="Calibri"/>
                <w:b/>
                <w:color w:val="FFFFFF"/>
                <w:sz w:val="17"/>
              </w:rPr>
              <w:t>Legal/account owner at relevant time</w:t>
            </w:r>
          </w:p>
        </w:tc>
        <w:tc>
          <w:tcPr>
            <w:tcW w:type="dxa" w:w="1995"/>
            <w:vAlign w:val="center"/>
            <w:shd w:fill="1F4D78"/>
            <w:tcMar>
              <w:top w:w="80" w:type="dxa"/>
              <w:bottom w:w="80" w:type="dxa"/>
              <w:start w:w="120" w:type="dxa"/>
              <w:end w:w="120" w:type="dxa"/>
            </w:tcMar>
          </w:tcPr>
          <w:p>
            <w:pPr>
              <w:pStyle w:val="TableText"/>
              <w:jc w:val="left"/>
            </w:pPr>
            <w:r>
              <w:rPr>
                <w:rFonts w:ascii="Calibri" w:hAnsi="Calibri"/>
                <w:b/>
                <w:color w:val="FFFFFF"/>
                <w:sz w:val="17"/>
              </w:rPr>
              <w:t>Visibility/license then</w:t>
            </w:r>
          </w:p>
        </w:tc>
        <w:tc>
          <w:tcPr>
            <w:tcW w:type="dxa" w:w="920"/>
            <w:vAlign w:val="center"/>
            <w:shd w:fill="1F4D78"/>
            <w:tcMar>
              <w:top w:w="80" w:type="dxa"/>
              <w:bottom w:w="80" w:type="dxa"/>
              <w:start w:w="120" w:type="dxa"/>
              <w:end w:w="120" w:type="dxa"/>
            </w:tcMar>
          </w:tcPr>
          <w:p>
            <w:pPr>
              <w:pStyle w:val="TableText"/>
              <w:jc w:val="left"/>
            </w:pPr>
            <w:r>
              <w:rPr>
                <w:rFonts w:ascii="Calibri" w:hAnsi="Calibri"/>
                <w:b/>
                <w:color w:val="FFFFFF"/>
                <w:sz w:val="17"/>
              </w:rPr>
              <w:t>Human contributors</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Wardfile</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Compliance lineage; six pattern lifts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gridwork</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AI Production and Base lineage</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gridwork-core</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AI Production and Agentic lineage; harvest target</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Private per supplied telemetry [VERIFY]</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gwdigital / gridworkdigital</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Base and later security-pattern references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prospector</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AI Production lineage/research adapters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tessera</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Local-first and Base lineage; described as public AGPL source</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[VERIFY LICENSE/SNAPSHOT]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health-service</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Local-first pattern source</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telesis</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Later pattern/harvest references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throughframe</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Later pattern/harvest references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glossread</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Later pattern/harvest references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tm-watch</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Later pattern/harvest references</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media-pipeline</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Express internal firewall: patterns only, no implementation</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302"/>
            <w:vAlign w:val="top"/>
            <w:tcMar>
              <w:top w:w="80" w:type="dxa"/>
              <w:bottom w:w="80" w:type="dxa"/>
              <w:start w:w="120" w:type="dxa"/>
              <w:end w:w="120" w:type="dxa"/>
            </w:tcMar>
          </w:tcPr>
          <w:p>
            <w:pPr>
              <w:pStyle w:val="TableText"/>
              <w:jc w:val="left"/>
            </w:pPr>
            <w:r>
              <w:rPr>
                <w:rFonts w:ascii="Calibri" w:hAnsi="Calibri"/>
                <w:b w:val="0"/>
                <w:sz w:val="18"/>
              </w:rPr>
              <w:t>Other source, snippet, template, Stack Overflow, code sample, standard, or model</w:t>
            </w:r>
          </w:p>
        </w:tc>
        <w:tc>
          <w:tcPr>
            <w:tcW w:type="dxa" w:w="2302"/>
            <w:vAlign w:val="top"/>
            <w:tcMar>
              <w:top w:w="80" w:type="dxa"/>
              <w:bottom w:w="80" w:type="dxa"/>
              <w:start w:w="120" w:type="dxa"/>
              <w:end w:w="120" w:type="dxa"/>
            </w:tcMar>
          </w:tcPr>
          <w:p>
            <w:pPr>
              <w:pStyle w:val="TableText"/>
              <w:jc w:val="left"/>
            </w:pPr>
            <w:r>
              <w:rPr>
                <w:rFonts w:ascii="Calibri" w:hAnsi="Calibri"/>
                <w:b w:val="0"/>
                <w:sz w:val="18"/>
              </w:rPr>
              <w:t>[ADD]</w:t>
            </w:r>
          </w:p>
        </w:tc>
        <w:tc>
          <w:tcPr>
            <w:tcW w:type="dxa" w:w="184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995"/>
            <w:vAlign w:val="top"/>
            <w:tcMar>
              <w:top w:w="80" w:type="dxa"/>
              <w:bottom w:w="80" w:type="dxa"/>
              <w:start w:w="120" w:type="dxa"/>
              <w:end w:w="120" w:type="dxa"/>
            </w:tcMar>
          </w:tcPr>
          <w:p>
            <w:pPr>
              <w:pStyle w:val="TableText"/>
              <w:jc w:val="left"/>
            </w:pPr>
            <w:r>
              <w:rPr>
                <w:rFonts w:ascii="Calibri" w:hAnsi="Calibri"/>
                <w:b w:val="0"/>
                <w:sz w:val="18"/>
              </w:rPr>
              <w:t>[LICENSE]</w:t>
            </w:r>
          </w:p>
        </w:tc>
        <w:tc>
          <w:tcPr>
            <w:tcW w:type="dxa" w:w="920"/>
            <w:vAlign w:val="top"/>
            <w:tcMar>
              <w:top w:w="80" w:type="dxa"/>
              <w:bottom w:w="80" w:type="dxa"/>
              <w:start w:w="120" w:type="dxa"/>
              <w:end w:w="120" w:type="dxa"/>
            </w:tcMar>
          </w:tcPr>
          <w:p>
            <w:pPr>
              <w:pStyle w:val="TableText"/>
              <w:jc w:val="left"/>
            </w:pPr>
            <w:r>
              <w:rPr>
                <w:rFonts w:ascii="Calibri" w:hAnsi="Calibri"/>
                <w:b w:val="0"/>
                <w:sz w:val="18"/>
              </w:rPr>
              <w:t>[FACT]</w:t>
            </w:r>
          </w:p>
        </w:tc>
      </w:tr>
    </w:tbl>
    <w:p>
      <w:pPr>
        <w:spacing w:after="40"/>
      </w:pPr>
    </w:p>
    <w:p>
      <w:pPr>
        <w:keepNext/>
        <w:spacing w:before="40" w:after="80"/>
      </w:pPr>
      <w:r>
        <w:rPr>
          <w:rFonts w:ascii="Calibri" w:hAnsi="Calibri"/>
          <w:i/>
          <w:color w:val="5D6874"/>
          <w:sz w:val="17"/>
        </w:rPr>
        <w:t>Continuation - remaining fields for the same rows.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300"/>
        <w:gridCol w:w="2500"/>
        <w:gridCol w:w="2760"/>
        <w:gridCol w:w="2800"/>
      </w:tblGrid>
      <w:tr>
        <w:trPr>
          <w:cantSplit w:val="true"/>
          <w:tblHeader w:val="true"/>
        </w:trPr>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Repository/source</w:t>
            </w:r>
          </w:p>
        </w:tc>
        <w:tc>
          <w:tcPr>
            <w:tcW w:type="dxa" w:w="2500"/>
            <w:vAlign w:val="center"/>
            <w:shd w:fill="1F4D78"/>
            <w:tcMar>
              <w:top w:w="80" w:type="dxa"/>
              <w:bottom w:w="80" w:type="dxa"/>
              <w:start w:w="120" w:type="dxa"/>
              <w:end w:w="120" w:type="dxa"/>
            </w:tcMar>
          </w:tcPr>
          <w:p>
            <w:pPr>
              <w:pStyle w:val="TableText"/>
              <w:jc w:val="left"/>
            </w:pPr>
            <w:r>
              <w:rPr>
                <w:rFonts w:ascii="Calibri" w:hAnsi="Calibri"/>
                <w:b/>
                <w:color w:val="FFFFFF"/>
                <w:sz w:val="17"/>
              </w:rPr>
              <w:t>Actual transfer method</w:t>
            </w:r>
          </w:p>
        </w:tc>
        <w:tc>
          <w:tcPr>
            <w:tcW w:type="dxa" w:w="2760"/>
            <w:vAlign w:val="center"/>
            <w:shd w:fill="1F4D78"/>
            <w:tcMar>
              <w:top w:w="80" w:type="dxa"/>
              <w:bottom w:w="80" w:type="dxa"/>
              <w:start w:w="120" w:type="dxa"/>
              <w:end w:w="120" w:type="dxa"/>
            </w:tcMar>
          </w:tcPr>
          <w:p>
            <w:pPr>
              <w:pStyle w:val="TableText"/>
              <w:jc w:val="left"/>
            </w:pPr>
            <w:r>
              <w:rPr>
                <w:rFonts w:ascii="Calibri" w:hAnsi="Calibri"/>
                <w:b/>
                <w:color w:val="FFFFFF"/>
                <w:sz w:val="17"/>
              </w:rPr>
              <w:t>Caisson files/commits affected</w:t>
            </w:r>
          </w:p>
        </w:tc>
        <w:tc>
          <w:tcPr>
            <w:tcW w:type="dxa" w:w="2800"/>
            <w:vAlign w:val="center"/>
            <w:shd w:fill="1F4D78"/>
            <w:tcMar>
              <w:top w:w="80" w:type="dxa"/>
              <w:bottom w:w="80" w:type="dxa"/>
              <w:start w:w="120" w:type="dxa"/>
              <w:end w:w="120" w:type="dxa"/>
            </w:tcMar>
          </w:tcPr>
          <w:p>
            <w:pPr>
              <w:pStyle w:val="TableText"/>
              <w:jc w:val="left"/>
            </w:pPr>
            <w:r>
              <w:rPr>
                <w:rFonts w:ascii="Calibri" w:hAnsi="Calibri"/>
                <w:b/>
                <w:color w:val="FFFFFF"/>
                <w:sz w:val="17"/>
              </w:rPr>
              <w:t>Evidence/open issue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Wardfile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 pattern only / copied / adapted]</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Ownership and clean-room evidence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gridwork</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gridwork-core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 pattern-only]</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gwdigital / gridworkdigital</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Relationship to GridWork Digital LLC</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prospector</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tessera</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 independent reimplementation; no copied AGPL code]</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High-priority license comparison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health-service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telesis</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throughframe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glossread</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tm-watch</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[CONFIRM]</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media-pipeline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[VERIFY no bytes transferred]</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[MAP/none]</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High-priority diff/scan</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Other source, snippet, template, Stack Overflow, code sample, standard, or model</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[MAP]</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[OPEN]</w:t>
            </w:r>
          </w:p>
        </w:tc>
      </w:tr>
    </w:tbl>
    <w:p>
      <w:pPr>
        <w:spacing w:after="40"/>
      </w:pPr>
    </w:p>
    <w:p>
      <w:pPr>
        <w:pStyle w:val="Heading1"/>
        <w:pageBreakBefore/>
      </w:pPr>
      <w:r>
        <w:rPr>
          <w:rFonts w:ascii="Calibri" w:hAnsi="Calibri"/>
          <w:b/>
        </w:rPr>
        <w:t>Schedule 9-D - AI-assisted creation record</w:t>
      </w:r>
    </w:p>
    <w:p>
      <w:pPr>
        <w:keepLines w:val="0"/>
        <w:widowControl/>
      </w:pPr>
      <w:r>
        <w:rPr>
          <w:rFonts w:ascii="Calibri" w:hAnsi="Calibri"/>
          <w:b w:val="0"/>
          <w:sz w:val="21"/>
        </w:rPr>
        <w:t xml:space="preserve">The supplied July 6, 2026 telemetry snapshot reports 805 Caisson commits, 452 (56 percent) carrying a </w:t>
      </w:r>
      <w:r>
        <w:rPr>
          <w:rFonts w:ascii="Consolas" w:hAnsi="Consolas"/>
          <w:color w:val="1F4D78"/>
          <w:sz w:val="20"/>
        </w:rPr>
        <w:t>Co-Authored-By: Claude</w:t>
      </w:r>
      <w:r>
        <w:rPr>
          <w:rFonts w:ascii="Calibri" w:hAnsi="Calibri"/>
          <w:b w:val="0"/>
          <w:sz w:val="21"/>
        </w:rPr>
        <w:t xml:space="preserve"> trailer, with author-name buckets </w:t>
      </w:r>
      <w:r>
        <w:rPr>
          <w:rFonts w:ascii="Consolas" w:hAnsi="Consolas"/>
          <w:color w:val="1F4D78"/>
          <w:sz w:val="20"/>
        </w:rPr>
        <w:t>Liam (GridWork)</w:t>
      </w:r>
      <w:r>
        <w:rPr>
          <w:rFonts w:ascii="Calibri" w:hAnsi="Calibri"/>
          <w:b w:val="0"/>
          <w:sz w:val="21"/>
        </w:rPr>
        <w:t xml:space="preserve">, </w:t>
      </w:r>
      <w:r>
        <w:rPr>
          <w:rFonts w:ascii="Consolas" w:hAnsi="Consolas"/>
          <w:color w:val="1F4D78"/>
          <w:sz w:val="20"/>
        </w:rPr>
        <w:t>GridWork Dev</w:t>
      </w:r>
      <w:r>
        <w:rPr>
          <w:rFonts w:ascii="Calibri" w:hAnsi="Calibri"/>
          <w:b w:val="0"/>
          <w:sz w:val="21"/>
        </w:rPr>
        <w:t xml:space="preserve">, </w:t>
      </w:r>
      <w:r>
        <w:rPr>
          <w:rFonts w:ascii="Consolas" w:hAnsi="Consolas"/>
          <w:color w:val="1F4D78"/>
          <w:sz w:val="20"/>
        </w:rPr>
        <w:t>Caisson.sh</w:t>
      </w:r>
      <w:r>
        <w:rPr>
          <w:rFonts w:ascii="Calibri" w:hAnsi="Calibri"/>
          <w:b w:val="0"/>
          <w:sz w:val="21"/>
        </w:rPr>
        <w:t xml:space="preserve">, </w:t>
      </w:r>
      <w:r>
        <w:rPr>
          <w:rFonts w:ascii="Consolas" w:hAnsi="Consolas"/>
          <w:color w:val="1F4D78"/>
          <w:sz w:val="20"/>
        </w:rPr>
        <w:t>GridWork.dev</w:t>
      </w:r>
      <w:r>
        <w:rPr>
          <w:rFonts w:ascii="Calibri" w:hAnsi="Calibri"/>
          <w:b w:val="0"/>
          <w:sz w:val="21"/>
        </w:rPr>
        <w:t xml:space="preserve">, and </w:t>
      </w:r>
      <w:r>
        <w:rPr>
          <w:rFonts w:ascii="Consolas" w:hAnsi="Consolas"/>
          <w:color w:val="1F4D78"/>
          <w:sz w:val="20"/>
        </w:rPr>
        <w:t>github-actions[bot]</w:t>
      </w:r>
      <w:r>
        <w:rPr>
          <w:rFonts w:ascii="Calibri" w:hAnsi="Calibri"/>
          <w:b w:val="0"/>
          <w:sz w:val="21"/>
        </w:rPr>
        <w:t xml:space="preserve">. GitHub statistics separately bucket a </w:t>
      </w:r>
      <w:r>
        <w:rPr>
          <w:rFonts w:ascii="Consolas" w:hAnsi="Consolas"/>
          <w:color w:val="1F4D78"/>
          <w:sz w:val="20"/>
        </w:rPr>
        <w:t>claude</w:t>
      </w:r>
      <w:r>
        <w:rPr>
          <w:rFonts w:ascii="Calibri" w:hAnsi="Calibri"/>
          <w:b w:val="0"/>
          <w:sz w:val="21"/>
        </w:rPr>
        <w:t xml:space="preserve"> contributor. These are heuristics, not a legal authorship conclusion. A current commit-level report must replace the snapshot.</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000"/>
        <w:gridCol w:w="1800"/>
        <w:gridCol w:w="850"/>
        <w:gridCol w:w="1200"/>
        <w:gridCol w:w="2200"/>
        <w:gridCol w:w="1310"/>
      </w:tblGrid>
      <w:tr>
        <w:trPr>
          <w:cantSplit w:val="true"/>
          <w:tblHeader w:val="true"/>
        </w:trPr>
        <w:tc>
          <w:tcPr>
            <w:tcW w:type="dxa" w:w="2000"/>
            <w:vAlign w:val="center"/>
            <w:shd w:fill="1F4D78"/>
            <w:tcMar>
              <w:top w:w="80" w:type="dxa"/>
              <w:bottom w:w="80" w:type="dxa"/>
              <w:start w:w="120" w:type="dxa"/>
              <w:end w:w="120" w:type="dxa"/>
            </w:tcMar>
          </w:tcPr>
          <w:p>
            <w:pPr>
              <w:pStyle w:val="TableText"/>
              <w:jc w:val="left"/>
            </w:pPr>
            <w:r>
              <w:rPr>
                <w:rFonts w:ascii="Calibri" w:hAnsi="Calibri"/>
                <w:b/>
                <w:color w:val="FFFFFF"/>
                <w:sz w:val="17"/>
              </w:rPr>
              <w:t>AI service/model/tool</w:t>
            </w:r>
          </w:p>
        </w:tc>
        <w:tc>
          <w:tcPr>
            <w:tcW w:type="dxa" w:w="1800"/>
            <w:vAlign w:val="center"/>
            <w:shd w:fill="1F4D78"/>
            <w:tcMar>
              <w:top w:w="80" w:type="dxa"/>
              <w:bottom w:w="80" w:type="dxa"/>
              <w:start w:w="120" w:type="dxa"/>
              <w:end w:w="120" w:type="dxa"/>
            </w:tcMar>
          </w:tcPr>
          <w:p>
            <w:pPr>
              <w:pStyle w:val="TableText"/>
              <w:jc w:val="left"/>
            </w:pPr>
            <w:r>
              <w:rPr>
                <w:rFonts w:ascii="Calibri" w:hAnsi="Calibri"/>
                <w:b/>
                <w:color w:val="FFFFFF"/>
                <w:sz w:val="17"/>
              </w:rPr>
              <w:t>Subscriber/legal account holder</w:t>
            </w:r>
          </w:p>
        </w:tc>
        <w:tc>
          <w:tcPr>
            <w:tcW w:type="dxa" w:w="850"/>
            <w:vAlign w:val="center"/>
            <w:shd w:fill="1F4D78"/>
            <w:tcMar>
              <w:top w:w="80" w:type="dxa"/>
              <w:bottom w:w="80" w:type="dxa"/>
              <w:start w:w="120" w:type="dxa"/>
              <w:end w:w="120" w:type="dxa"/>
            </w:tcMar>
          </w:tcPr>
          <w:p>
            <w:pPr>
              <w:pStyle w:val="TableText"/>
              <w:jc w:val="left"/>
            </w:pPr>
            <w:r>
              <w:rPr>
                <w:rFonts w:ascii="Calibri" w:hAnsi="Calibri"/>
                <w:b/>
                <w:color w:val="FFFFFF"/>
                <w:sz w:val="17"/>
              </w:rPr>
              <w:t>Payer</w:t>
            </w:r>
          </w:p>
        </w:tc>
        <w:tc>
          <w:tcPr>
            <w:tcW w:type="dxa" w:w="1200"/>
            <w:vAlign w:val="center"/>
            <w:shd w:fill="1F4D78"/>
            <w:tcMar>
              <w:top w:w="80" w:type="dxa"/>
              <w:bottom w:w="80" w:type="dxa"/>
              <w:start w:w="120" w:type="dxa"/>
              <w:end w:w="120" w:type="dxa"/>
            </w:tcMar>
          </w:tcPr>
          <w:p>
            <w:pPr>
              <w:pStyle w:val="TableText"/>
              <w:jc w:val="left"/>
            </w:pPr>
            <w:r>
              <w:rPr>
                <w:rFonts w:ascii="Calibri" w:hAnsi="Calibri"/>
                <w:b/>
                <w:color w:val="FFFFFF"/>
                <w:sz w:val="17"/>
              </w:rPr>
              <w:t>Terms/version/date</w:t>
            </w:r>
          </w:p>
        </w:tc>
        <w:tc>
          <w:tcPr>
            <w:tcW w:type="dxa" w:w="2200"/>
            <w:vAlign w:val="center"/>
            <w:shd w:fill="1F4D78"/>
            <w:tcMar>
              <w:top w:w="80" w:type="dxa"/>
              <w:bottom w:w="80" w:type="dxa"/>
              <w:start w:w="120" w:type="dxa"/>
              <w:end w:w="120" w:type="dxa"/>
            </w:tcMar>
          </w:tcPr>
          <w:p>
            <w:pPr>
              <w:pStyle w:val="TableText"/>
              <w:jc w:val="left"/>
            </w:pPr>
            <w:r>
              <w:rPr>
                <w:rFonts w:ascii="Calibri" w:hAnsi="Calibri"/>
                <w:b/>
                <w:color w:val="FFFFFF"/>
                <w:sz w:val="17"/>
              </w:rPr>
              <w:t>Use category</w:t>
            </w:r>
          </w:p>
        </w:tc>
        <w:tc>
          <w:tcPr>
            <w:tcW w:type="dxa" w:w="1310"/>
            <w:vAlign w:val="center"/>
            <w:shd w:fill="1F4D78"/>
            <w:tcMar>
              <w:top w:w="80" w:type="dxa"/>
              <w:bottom w:w="80" w:type="dxa"/>
              <w:start w:w="120" w:type="dxa"/>
              <w:end w:w="120" w:type="dxa"/>
            </w:tcMar>
          </w:tcPr>
          <w:p>
            <w:pPr>
              <w:pStyle w:val="TableText"/>
              <w:jc w:val="left"/>
            </w:pPr>
            <w:r>
              <w:rPr>
                <w:rFonts w:ascii="Calibri" w:hAnsi="Calibri"/>
                <w:b/>
                <w:color w:val="FFFFFF"/>
                <w:sz w:val="17"/>
              </w:rPr>
              <w:t>Inputs included</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Claude / Claude Code</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Code, docs, review, design [CONFIRM]</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OpenAI / Codex</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OpenRouter and routed models</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Research/review/runtime [SEPARATE]</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Google / Gemini</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Perplexity or other research tools</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Research/copy</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Image/design/video generation tool</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8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200"/>
            <w:vAlign w:val="top"/>
            <w:tcMar>
              <w:top w:w="80" w:type="dxa"/>
              <w:bottom w:w="80" w:type="dxa"/>
              <w:start w:w="120" w:type="dxa"/>
              <w:end w:w="120" w:type="dxa"/>
            </w:tcMar>
          </w:tcPr>
          <w:p>
            <w:pPr>
              <w:pStyle w:val="TableText"/>
              <w:jc w:val="left"/>
            </w:pPr>
            <w:r>
              <w:rPr>
                <w:rFonts w:ascii="Calibri" w:hAnsi="Calibri"/>
                <w:b w:val="0"/>
                <w:sz w:val="18"/>
              </w:rPr>
              <w:t>Brand/media</w:t>
            </w:r>
          </w:p>
        </w:tc>
        <w:tc>
          <w:tcPr>
            <w:tcW w:type="dxa" w:w="1310"/>
            <w:vAlign w:val="top"/>
            <w:tcMar>
              <w:top w:w="80" w:type="dxa"/>
              <w:bottom w:w="80" w:type="dxa"/>
              <w:start w:w="120" w:type="dxa"/>
              <w:end w:w="120" w:type="dxa"/>
            </w:tcMar>
          </w:tcPr>
          <w:p>
            <w:pPr>
              <w:pStyle w:val="TableText"/>
              <w:jc w:val="left"/>
            </w:pPr>
            <w:r>
              <w:rPr>
                <w:rFonts w:ascii="Calibri" w:hAnsi="Calibri"/>
                <w:b w:val="0"/>
                <w:sz w:val="18"/>
              </w:rPr>
              <w:t>[FACT]</w:t>
            </w:r>
          </w:p>
        </w:tc>
      </w:tr>
    </w:tbl>
    <w:p>
      <w:pPr>
        <w:spacing w:after="40"/>
      </w:pPr>
    </w:p>
    <w:p>
      <w:pPr>
        <w:keepNext/>
        <w:spacing w:before="40" w:after="80"/>
      </w:pPr>
      <w:r>
        <w:rPr>
          <w:rFonts w:ascii="Calibri" w:hAnsi="Calibri"/>
          <w:i/>
          <w:color w:val="5D6874"/>
          <w:sz w:val="17"/>
        </w:rPr>
        <w:t>Continuation - remaining fields for the same rows.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273"/>
        <w:gridCol w:w="1337"/>
        <w:gridCol w:w="1538"/>
        <w:gridCol w:w="1337"/>
        <w:gridCol w:w="2875"/>
      </w:tblGrid>
      <w:tr>
        <w:trPr>
          <w:cantSplit w:val="true"/>
          <w:tblHeader w:val="true"/>
        </w:trPr>
        <w:tc>
          <w:tcPr>
            <w:tcW w:type="dxa" w:w="2273"/>
            <w:vAlign w:val="center"/>
            <w:shd w:fill="1F4D78"/>
            <w:tcMar>
              <w:top w:w="80" w:type="dxa"/>
              <w:bottom w:w="80" w:type="dxa"/>
              <w:start w:w="120" w:type="dxa"/>
              <w:end w:w="120" w:type="dxa"/>
            </w:tcMar>
          </w:tcPr>
          <w:p>
            <w:pPr>
              <w:pStyle w:val="TableText"/>
              <w:jc w:val="left"/>
            </w:pPr>
            <w:r>
              <w:rPr>
                <w:rFonts w:ascii="Calibri" w:hAnsi="Calibri"/>
                <w:b/>
                <w:color w:val="FFFFFF"/>
                <w:sz w:val="17"/>
              </w:rPr>
              <w:t>AI service/model/tool</w:t>
            </w:r>
          </w:p>
        </w:tc>
        <w:tc>
          <w:tcPr>
            <w:tcW w:type="dxa" w:w="1337"/>
            <w:vAlign w:val="center"/>
            <w:shd w:fill="1F4D78"/>
            <w:tcMar>
              <w:top w:w="80" w:type="dxa"/>
              <w:bottom w:w="80" w:type="dxa"/>
              <w:start w:w="120" w:type="dxa"/>
              <w:end w:w="120" w:type="dxa"/>
            </w:tcMar>
          </w:tcPr>
          <w:p>
            <w:pPr>
              <w:pStyle w:val="TableText"/>
              <w:jc w:val="left"/>
            </w:pPr>
            <w:r>
              <w:rPr>
                <w:rFonts w:ascii="Calibri" w:hAnsi="Calibri"/>
                <w:b/>
                <w:color w:val="FFFFFF"/>
                <w:sz w:val="17"/>
              </w:rPr>
              <w:t>Outputs incorporated</w:t>
            </w:r>
          </w:p>
        </w:tc>
        <w:tc>
          <w:tcPr>
            <w:tcW w:type="dxa" w:w="1538"/>
            <w:vAlign w:val="center"/>
            <w:shd w:fill="1F4D78"/>
            <w:tcMar>
              <w:top w:w="80" w:type="dxa"/>
              <w:bottom w:w="80" w:type="dxa"/>
              <w:start w:w="120" w:type="dxa"/>
              <w:end w:w="120" w:type="dxa"/>
            </w:tcMar>
          </w:tcPr>
          <w:p>
            <w:pPr>
              <w:pStyle w:val="TableText"/>
              <w:jc w:val="left"/>
            </w:pPr>
            <w:r>
              <w:rPr>
                <w:rFonts w:ascii="Calibri" w:hAnsi="Calibri"/>
                <w:b/>
                <w:color w:val="FFFFFF"/>
                <w:sz w:val="17"/>
              </w:rPr>
              <w:t>Human selection/editing</w:t>
            </w:r>
          </w:p>
        </w:tc>
        <w:tc>
          <w:tcPr>
            <w:tcW w:type="dxa" w:w="1337"/>
            <w:vAlign w:val="center"/>
            <w:shd w:fill="1F4D78"/>
            <w:tcMar>
              <w:top w:w="80" w:type="dxa"/>
              <w:bottom w:w="80" w:type="dxa"/>
              <w:start w:w="120" w:type="dxa"/>
              <w:end w:w="120" w:type="dxa"/>
            </w:tcMar>
          </w:tcPr>
          <w:p>
            <w:pPr>
              <w:pStyle w:val="TableText"/>
              <w:jc w:val="left"/>
            </w:pPr>
            <w:r>
              <w:rPr>
                <w:rFonts w:ascii="Calibri" w:hAnsi="Calibri"/>
                <w:b/>
                <w:color w:val="FFFFFF"/>
                <w:sz w:val="17"/>
              </w:rPr>
              <w:t>Commit/file evidence</w:t>
            </w:r>
          </w:p>
        </w:tc>
        <w:tc>
          <w:tcPr>
            <w:tcW w:type="dxa" w:w="2875"/>
            <w:vAlign w:val="center"/>
            <w:shd w:fill="1F4D78"/>
            <w:tcMar>
              <w:top w:w="80" w:type="dxa"/>
              <w:bottom w:w="80" w:type="dxa"/>
              <w:start w:w="120" w:type="dxa"/>
              <w:end w:w="120" w:type="dxa"/>
            </w:tcMar>
          </w:tcPr>
          <w:p>
            <w:pPr>
              <w:pStyle w:val="TableText"/>
              <w:jc w:val="left"/>
            </w:pPr>
            <w:r>
              <w:rPr>
                <w:rFonts w:ascii="Calibri" w:hAnsi="Calibri"/>
                <w:b/>
                <w:color w:val="FFFFFF"/>
                <w:sz w:val="17"/>
              </w:rPr>
              <w:t>Restriction/open issue</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Claude / Claude Code</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Liam [CONFIRM]</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Git trailers/report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Provider terms and third-party inputs</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OpenAI / Codex</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OpenRouter and routed models</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Distinguish product runtime from creation</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Google / Gemini</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Perplexity or other research tools</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Source citations/copying review</w:t>
            </w:r>
          </w:p>
        </w:tc>
      </w:tr>
      <w:tr>
        <w:trPr>
          <w:cantSplit w:val="true"/>
        </w:trPr>
        <w:tc>
          <w:tcPr>
            <w:tcW w:type="dxa" w:w="2273"/>
            <w:vAlign w:val="top"/>
            <w:tcMar>
              <w:top w:w="80" w:type="dxa"/>
              <w:bottom w:w="80" w:type="dxa"/>
              <w:start w:w="120" w:type="dxa"/>
              <w:end w:w="120" w:type="dxa"/>
            </w:tcMar>
          </w:tcPr>
          <w:p>
            <w:pPr>
              <w:pStyle w:val="TableText"/>
              <w:jc w:val="left"/>
            </w:pPr>
            <w:r>
              <w:rPr>
                <w:rFonts w:ascii="Calibri" w:hAnsi="Calibri"/>
                <w:b w:val="0"/>
                <w:sz w:val="18"/>
              </w:rPr>
              <w:t>Image/design/video generation tool</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53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37"/>
            <w:vAlign w:val="top"/>
            <w:tcMar>
              <w:top w:w="80" w:type="dxa"/>
              <w:bottom w:w="80" w:type="dxa"/>
              <w:start w:w="120" w:type="dxa"/>
              <w:end w:w="120" w:type="dxa"/>
            </w:tcMar>
          </w:tcPr>
          <w:p>
            <w:pPr>
              <w:pStyle w:val="TableText"/>
              <w:jc w:val="left"/>
            </w:pPr>
            <w:r>
              <w:rPr>
                <w:rFonts w:ascii="Calibri" w:hAnsi="Calibri"/>
                <w:b w:val="0"/>
                <w:sz w:val="18"/>
              </w:rPr>
              <w:t>Source asset</w:t>
            </w:r>
          </w:p>
        </w:tc>
        <w:tc>
          <w:tcPr>
            <w:tcW w:type="dxa" w:w="2875"/>
            <w:vAlign w:val="top"/>
            <w:tcMar>
              <w:top w:w="80" w:type="dxa"/>
              <w:bottom w:w="80" w:type="dxa"/>
              <w:start w:w="120" w:type="dxa"/>
              <w:end w:w="120" w:type="dxa"/>
            </w:tcMar>
          </w:tcPr>
          <w:p>
            <w:pPr>
              <w:pStyle w:val="TableText"/>
              <w:jc w:val="left"/>
            </w:pPr>
            <w:r>
              <w:rPr>
                <w:rFonts w:ascii="Calibri" w:hAnsi="Calibri"/>
                <w:b w:val="0"/>
                <w:sz w:val="18"/>
              </w:rPr>
              <w:t>Publicity/trademark/third-party style issue</w:t>
            </w:r>
          </w:p>
        </w:tc>
      </w:tr>
    </w:tbl>
    <w:p>
      <w:pPr>
        <w:spacing w:after="40"/>
      </w:pPr>
    </w:p>
    <w:p>
      <w:pPr>
        <w:keepLines w:val="0"/>
        <w:widowControl/>
      </w:pPr>
      <w:r>
        <w:rPr>
          <w:rFonts w:ascii="Calibri" w:hAnsi="Calibri"/>
          <w:b w:val="0"/>
          <w:sz w:val="21"/>
        </w:rPr>
        <w:t>Required review questions:</w:t>
      </w:r>
    </w:p>
    <w:p>
      <w:pPr>
        <w:widowControl/>
        <w:numPr>
          <w:ilvl w:val="0"/>
          <w:numId w:val="64"/>
        </w:numPr>
      </w:pPr>
      <w:r>
        <w:rPr>
          <w:rFonts w:ascii="Calibri" w:hAnsi="Calibri"/>
          <w:b w:val="0"/>
          <w:sz w:val="20"/>
        </w:rPr>
        <w:t>Were private, client, school, employer, licensed, or third-party repository contents placed into prompts?</w:t>
      </w:r>
    </w:p>
    <w:p>
      <w:pPr>
        <w:widowControl/>
        <w:numPr>
          <w:ilvl w:val="0"/>
          <w:numId w:val="64"/>
        </w:numPr>
      </w:pPr>
      <w:r>
        <w:rPr>
          <w:rFonts w:ascii="Calibri" w:hAnsi="Calibri"/>
          <w:b w:val="0"/>
          <w:sz w:val="20"/>
        </w:rPr>
        <w:t>Did any provider retain, train on, or restrict the submitted material under the applicable account setting?</w:t>
      </w:r>
    </w:p>
    <w:p>
      <w:pPr>
        <w:widowControl/>
        <w:numPr>
          <w:ilvl w:val="0"/>
          <w:numId w:val="64"/>
        </w:numPr>
      </w:pPr>
      <w:r>
        <w:rPr>
          <w:rFonts w:ascii="Calibri" w:hAnsi="Calibri"/>
          <w:b w:val="0"/>
          <w:sz w:val="20"/>
        </w:rPr>
        <w:t>Is any output substantially similar to third-party code or text?</w:t>
      </w:r>
    </w:p>
    <w:p>
      <w:pPr>
        <w:widowControl/>
        <w:numPr>
          <w:ilvl w:val="0"/>
          <w:numId w:val="64"/>
        </w:numPr>
      </w:pPr>
      <w:r>
        <w:rPr>
          <w:rFonts w:ascii="Calibri" w:hAnsi="Calibri"/>
          <w:b w:val="0"/>
          <w:sz w:val="20"/>
        </w:rPr>
        <w:t>Which human selected, edited, tested, and accepted each material output?</w:t>
      </w:r>
    </w:p>
    <w:p>
      <w:pPr>
        <w:widowControl/>
        <w:numPr>
          <w:ilvl w:val="0"/>
          <w:numId w:val="64"/>
        </w:numPr>
      </w:pPr>
      <w:r>
        <w:rPr>
          <w:rFonts w:ascii="Calibri" w:hAnsi="Calibri"/>
          <w:b w:val="0"/>
          <w:sz w:val="20"/>
        </w:rPr>
        <w:t>Which provider account and payment source were used, and can the Company lawfully retain the records?</w:t>
      </w:r>
    </w:p>
    <w:p>
      <w:pPr>
        <w:pStyle w:val="Heading1"/>
        <w:pageBreakBefore/>
      </w:pPr>
      <w:r>
        <w:rPr>
          <w:rFonts w:ascii="Calibri" w:hAnsi="Calibri"/>
          <w:b/>
        </w:rPr>
        <w:t>Schedule 9-E - Human contributor and commit-identity record</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550"/>
        <w:gridCol w:w="1250"/>
        <w:gridCol w:w="1350"/>
        <w:gridCol w:w="1150"/>
        <w:gridCol w:w="1650"/>
        <w:gridCol w:w="1050"/>
        <w:gridCol w:w="1360"/>
      </w:tblGrid>
      <w:tr>
        <w:trPr>
          <w:cantSplit w:val="true"/>
          <w:tblHeader w:val="true"/>
        </w:trPr>
        <w:tc>
          <w:tcPr>
            <w:tcW w:type="dxa" w:w="1550"/>
            <w:vAlign w:val="center"/>
            <w:shd w:fill="1F4D78"/>
            <w:tcMar>
              <w:top w:w="80" w:type="dxa"/>
              <w:bottom w:w="80" w:type="dxa"/>
              <w:start w:w="120" w:type="dxa"/>
              <w:end w:w="120" w:type="dxa"/>
            </w:tcMar>
          </w:tcPr>
          <w:p>
            <w:pPr>
              <w:pStyle w:val="TableText"/>
              <w:jc w:val="left"/>
            </w:pPr>
            <w:r>
              <w:rPr>
                <w:rFonts w:ascii="Calibri" w:hAnsi="Calibri"/>
                <w:b/>
                <w:color w:val="FFFFFF"/>
                <w:sz w:val="17"/>
              </w:rPr>
              <w:t>Identity/person</w:t>
            </w:r>
          </w:p>
        </w:tc>
        <w:tc>
          <w:tcPr>
            <w:tcW w:type="dxa" w:w="1250"/>
            <w:vAlign w:val="center"/>
            <w:shd w:fill="1F4D78"/>
            <w:tcMar>
              <w:top w:w="80" w:type="dxa"/>
              <w:bottom w:w="80" w:type="dxa"/>
              <w:start w:w="120" w:type="dxa"/>
              <w:end w:w="120" w:type="dxa"/>
            </w:tcMar>
          </w:tcPr>
          <w:p>
            <w:pPr>
              <w:pStyle w:val="TableText"/>
              <w:jc w:val="left"/>
            </w:pPr>
            <w:r>
              <w:rPr>
                <w:rFonts w:ascii="Calibri" w:hAnsi="Calibri"/>
                <w:b/>
                <w:color w:val="FFFFFF"/>
                <w:sz w:val="17"/>
              </w:rPr>
              <w:t>Human, bot, alias, or AI trailer</w:t>
            </w:r>
          </w:p>
        </w:tc>
        <w:tc>
          <w:tcPr>
            <w:tcW w:type="dxa" w:w="1350"/>
            <w:vAlign w:val="center"/>
            <w:shd w:fill="1F4D78"/>
            <w:tcMar>
              <w:top w:w="80" w:type="dxa"/>
              <w:bottom w:w="80" w:type="dxa"/>
              <w:start w:w="120" w:type="dxa"/>
              <w:end w:w="120" w:type="dxa"/>
            </w:tcMar>
          </w:tcPr>
          <w:p>
            <w:pPr>
              <w:pStyle w:val="TableText"/>
              <w:jc w:val="left"/>
            </w:pPr>
            <w:r>
              <w:rPr>
                <w:rFonts w:ascii="Calibri" w:hAnsi="Calibri"/>
                <w:b/>
                <w:color w:val="FFFFFF"/>
                <w:sz w:val="17"/>
              </w:rPr>
              <w:t>Legal person controlling identity</w:t>
            </w:r>
          </w:p>
        </w:tc>
        <w:tc>
          <w:tcPr>
            <w:tcW w:type="dxa" w:w="1150"/>
            <w:vAlign w:val="center"/>
            <w:shd w:fill="1F4D78"/>
            <w:tcMar>
              <w:top w:w="80" w:type="dxa"/>
              <w:bottom w:w="80" w:type="dxa"/>
              <w:start w:w="120" w:type="dxa"/>
              <w:end w:w="120" w:type="dxa"/>
            </w:tcMar>
          </w:tcPr>
          <w:p>
            <w:pPr>
              <w:pStyle w:val="TableText"/>
              <w:jc w:val="left"/>
            </w:pPr>
            <w:r>
              <w:rPr>
                <w:rFonts w:ascii="Calibri" w:hAnsi="Calibri"/>
                <w:b/>
                <w:color w:val="FFFFFF"/>
                <w:sz w:val="17"/>
              </w:rPr>
              <w:t>Contribution type</w:t>
            </w:r>
          </w:p>
        </w:tc>
        <w:tc>
          <w:tcPr>
            <w:tcW w:type="dxa" w:w="1650"/>
            <w:vAlign w:val="center"/>
            <w:shd w:fill="1F4D78"/>
            <w:tcMar>
              <w:top w:w="80" w:type="dxa"/>
              <w:bottom w:w="80" w:type="dxa"/>
              <w:start w:w="120" w:type="dxa"/>
              <w:end w:w="120" w:type="dxa"/>
            </w:tcMar>
          </w:tcPr>
          <w:p>
            <w:pPr>
              <w:pStyle w:val="TableText"/>
              <w:jc w:val="left"/>
            </w:pPr>
            <w:r>
              <w:rPr>
                <w:rFonts w:ascii="Calibri" w:hAnsi="Calibri"/>
                <w:b/>
                <w:color w:val="FFFFFF"/>
                <w:sz w:val="17"/>
              </w:rPr>
              <w:t>Agreement/terms</w:t>
            </w:r>
          </w:p>
        </w:tc>
        <w:tc>
          <w:tcPr>
            <w:tcW w:type="dxa" w:w="1050"/>
            <w:vAlign w:val="center"/>
            <w:shd w:fill="1F4D78"/>
            <w:tcMar>
              <w:top w:w="80" w:type="dxa"/>
              <w:bottom w:w="80" w:type="dxa"/>
              <w:start w:w="120" w:type="dxa"/>
              <w:end w:w="120" w:type="dxa"/>
            </w:tcMar>
          </w:tcPr>
          <w:p>
            <w:pPr>
              <w:pStyle w:val="TableText"/>
              <w:jc w:val="left"/>
            </w:pPr>
            <w:r>
              <w:rPr>
                <w:rFonts w:ascii="Calibri" w:hAnsi="Calibri"/>
                <w:b/>
                <w:color w:val="FFFFFF"/>
                <w:sz w:val="17"/>
              </w:rPr>
              <w:t>Commit/file range</w:t>
            </w:r>
          </w:p>
        </w:tc>
        <w:tc>
          <w:tcPr>
            <w:tcW w:type="dxa" w:w="1360"/>
            <w:vAlign w:val="center"/>
            <w:shd w:fill="1F4D78"/>
            <w:tcMar>
              <w:top w:w="80" w:type="dxa"/>
              <w:bottom w:w="80" w:type="dxa"/>
              <w:start w:w="120" w:type="dxa"/>
              <w:end w:w="120" w:type="dxa"/>
            </w:tcMar>
          </w:tcPr>
          <w:p>
            <w:pPr>
              <w:pStyle w:val="TableText"/>
              <w:jc w:val="left"/>
            </w:pPr>
            <w:r>
              <w:rPr>
                <w:rFonts w:ascii="Calibri" w:hAnsi="Calibri"/>
                <w:b/>
                <w:color w:val="FFFFFF"/>
                <w:sz w:val="17"/>
              </w:rPr>
              <w:t>Rights disposition</w:t>
            </w:r>
          </w:p>
        </w:tc>
      </w:tr>
      <w:tr>
        <w:trPr>
          <w:cantSplit w:val="true"/>
        </w:trPr>
        <w:tc>
          <w:tcPr>
            <w:tcW w:type="dxa" w:w="1550"/>
            <w:vAlign w:val="top"/>
            <w:tcMar>
              <w:top w:w="80" w:type="dxa"/>
              <w:bottom w:w="80" w:type="dxa"/>
              <w:start w:w="120" w:type="dxa"/>
              <w:end w:w="120" w:type="dxa"/>
            </w:tcMar>
          </w:tcPr>
          <w:p>
            <w:pPr>
              <w:pStyle w:val="TableText"/>
              <w:jc w:val="left"/>
            </w:pPr>
            <w:r>
              <w:rPr>
                <w:rFonts w:ascii="Calibri" w:hAnsi="Calibri"/>
                <w:b w:val="0"/>
                <w:sz w:val="18"/>
              </w:rPr>
              <w:t>Liam Thadani</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Human</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Principal operator/known author</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Historical assignment; employment prospectively</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[CURRENT 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Instruments 9 and 10</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Liam (GridWork)</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Git author identity</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[CONFIRM Liam]</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Code/docs/merges</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Same</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Same</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GridWork Dev</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Git author identity</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[CONFIRM Liam/automation]</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Provider/automation terms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GridWork.dev</w:t>
            </w:r>
            <w:r>
              <w:rPr>
                <w:rFonts w:ascii="Calibri" w:hAnsi="Calibri"/>
                <w:b w:val="0"/>
                <w:sz w:val="18"/>
              </w:rPr>
              <w:t xml:space="preserve"> / </w:t>
            </w:r>
            <w:r>
              <w:rPr>
                <w:rFonts w:ascii="Consolas" w:hAnsi="Consolas"/>
                <w:color w:val="1F4D78"/>
                <w:sz w:val="17"/>
              </w:rPr>
              <w:t>GridWork-dev</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Git/GitHub identity</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[CONFIRM Liam]</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GitHub terms/account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Caisson.sh</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Git author identity</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[CONFIRM Liam/automation]</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Merges/releases [REPORT]</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github-actions[bot]</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Bot</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GitHub/Company workflow</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Automated changes</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GitHub/workflow terms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Company-directed output [COUNSEL REVIEW]</w:t>
            </w:r>
          </w:p>
        </w:tc>
      </w:tr>
      <w:tr>
        <w:trPr>
          <w:cantSplit w:val="true"/>
        </w:trPr>
        <w:tc>
          <w:tcPr>
            <w:tcW w:type="dxa" w:w="1550"/>
            <w:vAlign w:val="top"/>
            <w:tcMar>
              <w:top w:w="80" w:type="dxa"/>
              <w:bottom w:w="80" w:type="dxa"/>
              <w:start w:w="120" w:type="dxa"/>
              <w:end w:w="120" w:type="dxa"/>
            </w:tcMar>
          </w:tcPr>
          <w:p>
            <w:pPr>
              <w:pStyle w:val="TableText"/>
              <w:jc w:val="left"/>
            </w:pPr>
            <w:r>
              <w:rPr>
                <w:rFonts w:ascii="Consolas" w:hAnsi="Consolas"/>
                <w:color w:val="1F4D78"/>
                <w:sz w:val="17"/>
              </w:rPr>
              <w:t>claude</w:t>
            </w:r>
            <w:r>
              <w:rPr>
                <w:rFonts w:ascii="Calibri" w:hAnsi="Calibri"/>
                <w:b w:val="0"/>
                <w:sz w:val="18"/>
              </w:rPr>
              <w:t xml:space="preserve"> trailer/contributor bucket</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AI/coauthor metadata</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Provider/account [FACT]</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AI-assisted output</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Provider terms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Schedule 9-D</w:t>
            </w:r>
          </w:p>
        </w:tc>
      </w:tr>
      <w:tr>
        <w:trPr>
          <w:cantSplit w:val="true"/>
        </w:trPr>
        <w:tc>
          <w:tcPr>
            <w:tcW w:type="dxa" w:w="1550"/>
            <w:vAlign w:val="top"/>
            <w:tcMar>
              <w:top w:w="80" w:type="dxa"/>
              <w:bottom w:w="80" w:type="dxa"/>
              <w:start w:w="120" w:type="dxa"/>
              <w:end w:w="120" w:type="dxa"/>
            </w:tcMar>
          </w:tcPr>
          <w:p>
            <w:pPr>
              <w:pStyle w:val="TableText"/>
              <w:jc w:val="left"/>
            </w:pPr>
            <w:r>
              <w:rPr>
                <w:rFonts w:ascii="Calibri" w:hAnsi="Calibri"/>
                <w:b w:val="0"/>
                <w:sz w:val="18"/>
              </w:rPr>
              <w:t>Outside human contributors</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Status unconfirmed</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[CONFIRM/ADD]</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[ADD]</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Employment/contractor/CLA/assignment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[OPEN]</w:t>
            </w:r>
          </w:p>
        </w:tc>
      </w:tr>
      <w:tr>
        <w:trPr>
          <w:cantSplit w:val="true"/>
        </w:trPr>
        <w:tc>
          <w:tcPr>
            <w:tcW w:type="dxa" w:w="1550"/>
            <w:vAlign w:val="top"/>
            <w:tcMar>
              <w:top w:w="80" w:type="dxa"/>
              <w:bottom w:w="80" w:type="dxa"/>
              <w:start w:w="120" w:type="dxa"/>
              <w:end w:w="120" w:type="dxa"/>
            </w:tcMar>
          </w:tcPr>
          <w:p>
            <w:pPr>
              <w:pStyle w:val="TableText"/>
              <w:jc w:val="left"/>
            </w:pPr>
            <w:r>
              <w:rPr>
                <w:rFonts w:ascii="Calibri" w:hAnsi="Calibri"/>
                <w:b w:val="0"/>
                <w:sz w:val="18"/>
              </w:rPr>
              <w:t>Friends, reviewers, designers, contractors, agencies</w:t>
            </w:r>
          </w:p>
        </w:tc>
        <w:tc>
          <w:tcPr>
            <w:tcW w:type="dxa" w:w="1250"/>
            <w:vAlign w:val="top"/>
            <w:tcMar>
              <w:top w:w="80" w:type="dxa"/>
              <w:bottom w:w="80" w:type="dxa"/>
              <w:start w:w="120" w:type="dxa"/>
              <w:end w:w="120" w:type="dxa"/>
            </w:tcMar>
          </w:tcPr>
          <w:p>
            <w:pPr>
              <w:pStyle w:val="TableText"/>
              <w:jc w:val="left"/>
            </w:pPr>
            <w:r>
              <w:rPr>
                <w:rFonts w:ascii="Calibri" w:hAnsi="Calibri"/>
                <w:b w:val="0"/>
                <w:sz w:val="18"/>
              </w:rPr>
              <w:t>[CONFIRM/ADD]</w:t>
            </w:r>
          </w:p>
        </w:tc>
        <w:tc>
          <w:tcPr>
            <w:tcW w:type="dxa" w:w="13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650"/>
            <w:vAlign w:val="top"/>
            <w:tcMar>
              <w:top w:w="80" w:type="dxa"/>
              <w:bottom w:w="80" w:type="dxa"/>
              <w:start w:w="120" w:type="dxa"/>
              <w:end w:w="120" w:type="dxa"/>
            </w:tcMar>
          </w:tcPr>
          <w:p>
            <w:pPr>
              <w:pStyle w:val="TableText"/>
              <w:jc w:val="left"/>
            </w:pPr>
            <w:r>
              <w:rPr>
                <w:rFonts w:ascii="Calibri" w:hAnsi="Calibri"/>
                <w:b w:val="0"/>
                <w:sz w:val="18"/>
              </w:rPr>
              <w:t>[AGREEMENT]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[FILES]</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[OPEN]</w:t>
            </w:r>
          </w:p>
        </w:tc>
      </w:tr>
    </w:tbl>
    <w:p>
      <w:pPr>
        <w:spacing w:after="40"/>
      </w:pPr>
    </w:p>
    <w:p>
      <w:pPr>
        <w:keepLines w:val="0"/>
        <w:widowControl/>
      </w:pPr>
      <w:r>
        <w:rPr>
          <w:rFonts w:ascii="Calibri" w:hAnsi="Calibri"/>
          <w:b w:val="0"/>
          <w:sz w:val="21"/>
        </w:rPr>
        <w:t xml:space="preserve">The current </w:t>
      </w:r>
      <w:r>
        <w:rPr>
          <w:rFonts w:ascii="Consolas" w:hAnsi="Consolas"/>
          <w:color w:val="1F4D78"/>
          <w:sz w:val="20"/>
        </w:rPr>
        <w:t>git log</w:t>
      </w:r>
      <w:r>
        <w:rPr>
          <w:rFonts w:ascii="Calibri" w:hAnsi="Calibri"/>
          <w:b w:val="0"/>
          <w:sz w:val="21"/>
        </w:rPr>
        <w:t>, author emails, verified signatures, pull-request authors, review comments, branch history, deleted branches, and account exports shall be attached. Display names alone do not establish legal identity or ownership.</w:t>
      </w:r>
    </w:p>
    <w:p>
      <w:pPr>
        <w:pStyle w:val="Heading1"/>
        <w:pageBreakBefore/>
      </w:pPr>
      <w:r>
        <w:rPr>
          <w:rFonts w:ascii="Calibri" w:hAnsi="Calibri"/>
          <w:b/>
        </w:rPr>
        <w:t>Schedule 9-F - Account, namespace, and custody provenance</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000"/>
        <w:gridCol w:w="3500"/>
        <w:gridCol w:w="1800"/>
        <w:gridCol w:w="1100"/>
        <w:gridCol w:w="960"/>
      </w:tblGrid>
      <w:tr>
        <w:trPr>
          <w:cantSplit w:val="true"/>
          <w:tblHeader w:val="true"/>
        </w:trPr>
        <w:tc>
          <w:tcPr>
            <w:tcW w:type="dxa" w:w="2000"/>
            <w:vAlign w:val="center"/>
            <w:shd w:fill="1F4D78"/>
            <w:tcMar>
              <w:top w:w="80" w:type="dxa"/>
              <w:bottom w:w="80" w:type="dxa"/>
              <w:start w:w="120" w:type="dxa"/>
              <w:end w:w="120" w:type="dxa"/>
            </w:tcMar>
          </w:tcPr>
          <w:p>
            <w:pPr>
              <w:pStyle w:val="TableText"/>
              <w:jc w:val="left"/>
            </w:pPr>
            <w:r>
              <w:rPr>
                <w:rFonts w:ascii="Calibri" w:hAnsi="Calibri"/>
                <w:b/>
                <w:color w:val="FFFFFF"/>
                <w:sz w:val="17"/>
              </w:rPr>
              <w:t>Asset/account</w:t>
            </w:r>
          </w:p>
        </w:tc>
        <w:tc>
          <w:tcPr>
            <w:tcW w:type="dxa" w:w="3500"/>
            <w:vAlign w:val="center"/>
            <w:shd w:fill="1F4D78"/>
            <w:tcMar>
              <w:top w:w="80" w:type="dxa"/>
              <w:bottom w:w="80" w:type="dxa"/>
              <w:start w:w="120" w:type="dxa"/>
              <w:end w:w="120" w:type="dxa"/>
            </w:tcMar>
          </w:tcPr>
          <w:p>
            <w:pPr>
              <w:pStyle w:val="TableText"/>
              <w:jc w:val="left"/>
            </w:pPr>
            <w:r>
              <w:rPr>
                <w:rFonts w:ascii="Calibri" w:hAnsi="Calibri"/>
                <w:b/>
                <w:color w:val="FFFFFF"/>
                <w:sz w:val="17"/>
              </w:rPr>
              <w:t>Platform identifier</w:t>
            </w:r>
          </w:p>
        </w:tc>
        <w:tc>
          <w:tcPr>
            <w:tcW w:type="dxa" w:w="1800"/>
            <w:vAlign w:val="center"/>
            <w:shd w:fill="1F4D78"/>
            <w:tcMar>
              <w:top w:w="80" w:type="dxa"/>
              <w:bottom w:w="80" w:type="dxa"/>
              <w:start w:w="120" w:type="dxa"/>
              <w:end w:w="120" w:type="dxa"/>
            </w:tcMar>
          </w:tcPr>
          <w:p>
            <w:pPr>
              <w:pStyle w:val="TableText"/>
              <w:jc w:val="left"/>
            </w:pPr>
            <w:r>
              <w:rPr>
                <w:rFonts w:ascii="Calibri" w:hAnsi="Calibri"/>
                <w:b/>
                <w:color w:val="FFFFFF"/>
                <w:sz w:val="17"/>
              </w:rPr>
              <w:t>Legal subscriber/holder</w:t>
            </w:r>
          </w:p>
        </w:tc>
        <w:tc>
          <w:tcPr>
            <w:tcW w:type="dxa" w:w="1100"/>
            <w:vAlign w:val="center"/>
            <w:shd w:fill="1F4D78"/>
            <w:tcMar>
              <w:top w:w="80" w:type="dxa"/>
              <w:bottom w:w="80" w:type="dxa"/>
              <w:start w:w="120" w:type="dxa"/>
              <w:end w:w="120" w:type="dxa"/>
            </w:tcMar>
          </w:tcPr>
          <w:p>
            <w:pPr>
              <w:pStyle w:val="TableText"/>
              <w:jc w:val="left"/>
            </w:pPr>
            <w:r>
              <w:rPr>
                <w:rFonts w:ascii="Calibri" w:hAnsi="Calibri"/>
                <w:b/>
                <w:color w:val="FFFFFF"/>
                <w:sz w:val="17"/>
              </w:rPr>
              <w:t>Terms accepter</w:t>
            </w:r>
          </w:p>
        </w:tc>
        <w:tc>
          <w:tcPr>
            <w:tcW w:type="dxa" w:w="960"/>
            <w:vAlign w:val="center"/>
            <w:shd w:fill="1F4D78"/>
            <w:tcMar>
              <w:top w:w="80" w:type="dxa"/>
              <w:bottom w:w="80" w:type="dxa"/>
              <w:start w:w="120" w:type="dxa"/>
              <w:end w:w="120" w:type="dxa"/>
            </w:tcMar>
          </w:tcPr>
          <w:p>
            <w:pPr>
              <w:pStyle w:val="TableText"/>
              <w:jc w:val="left"/>
            </w:pPr>
            <w:r>
              <w:rPr>
                <w:rFonts w:ascii="Calibri" w:hAnsi="Calibri"/>
                <w:b/>
                <w:color w:val="FFFFFF"/>
                <w:sz w:val="17"/>
              </w:rPr>
              <w:t>Payer</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GitHub personal user</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GridWork-dev</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GitHub organization</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caisson-sh</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Private monorepo</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caisson-sh/caisson</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Not separate</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OSS mirror</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caisson-sh/caisson-oss</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Not separate</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Public npm accounts/scopes</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 xml:space="preserve">Checked identifiers </w:t>
            </w:r>
            <w:r>
              <w:rPr>
                <w:rFonts w:ascii="Consolas" w:hAnsi="Consolas"/>
                <w:color w:val="1F4D78"/>
                <w:sz w:val="17"/>
              </w:rPr>
              <w:t>@caisson/kernel</w:t>
            </w:r>
            <w:r>
              <w:rPr>
                <w:rFonts w:ascii="Calibri" w:hAnsi="Calibri"/>
                <w:b w:val="0"/>
                <w:sz w:val="18"/>
              </w:rPr>
              <w:t xml:space="preserve"> and </w:t>
            </w:r>
            <w:r>
              <w:rPr>
                <w:rFonts w:ascii="Consolas" w:hAnsi="Consolas"/>
                <w:color w:val="1F4D78"/>
                <w:sz w:val="17"/>
              </w:rPr>
              <w:t>@caisson-sh/cli</w:t>
            </w:r>
            <w:r>
              <w:rPr>
                <w:rFonts w:ascii="Calibri" w:hAnsi="Calibri"/>
                <w:b w:val="0"/>
                <w:sz w:val="18"/>
              </w:rPr>
              <w:t>; complete scope list [FACT]</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Private registry</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registry.caisson.sh</w:t>
            </w:r>
            <w:r>
              <w:rPr>
                <w:rFonts w:ascii="Calibri" w:hAnsi="Calibri"/>
                <w:b w:val="0"/>
                <w:sz w:val="18"/>
              </w:rPr>
              <w:t xml:space="preserve"> / </w:t>
            </w:r>
            <w:r>
              <w:rPr>
                <w:rFonts w:ascii="Consolas" w:hAnsi="Consolas"/>
                <w:color w:val="1F4D78"/>
                <w:sz w:val="17"/>
              </w:rPr>
              <w:t>@caisson/*</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Domain</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caisson.sh</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[REGISTRANT]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Cloudflare</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[ACCOUNT]</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Railway</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[ACCOUNT/PROJECT]</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Email</w:t>
            </w:r>
          </w:p>
        </w:tc>
        <w:tc>
          <w:tcPr>
            <w:tcW w:type="dxa" w:w="3500"/>
            <w:vAlign w:val="top"/>
            <w:tcMar>
              <w:top w:w="80" w:type="dxa"/>
              <w:bottom w:w="80" w:type="dxa"/>
              <w:start w:w="120" w:type="dxa"/>
              <w:end w:w="120" w:type="dxa"/>
            </w:tcMar>
          </w:tcPr>
          <w:p>
            <w:pPr>
              <w:pStyle w:val="TableText"/>
              <w:jc w:val="left"/>
            </w:pPr>
            <w:r>
              <w:rPr>
                <w:rFonts w:ascii="Consolas" w:hAnsi="Consolas"/>
                <w:color w:val="1F4D78"/>
                <w:sz w:val="17"/>
              </w:rPr>
              <w:t>admin@caisson.sh</w:t>
            </w:r>
            <w:r>
              <w:rPr>
                <w:rFonts w:ascii="Calibri" w:hAnsi="Calibri"/>
                <w:b w:val="0"/>
                <w:sz w:val="18"/>
              </w:rPr>
              <w:t>, support and other aliases</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Discord/community</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[SERVER/BOT]</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Password manager</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[PROVIDER/VAULT]</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2000"/>
            <w:vAlign w:val="top"/>
            <w:tcMar>
              <w:top w:w="80" w:type="dxa"/>
              <w:bottom w:w="80" w:type="dxa"/>
              <w:start w:w="120" w:type="dxa"/>
              <w:end w:w="120" w:type="dxa"/>
            </w:tcMar>
          </w:tcPr>
          <w:p>
            <w:pPr>
              <w:pStyle w:val="TableText"/>
              <w:jc w:val="left"/>
            </w:pPr>
            <w:r>
              <w:rPr>
                <w:rFonts w:ascii="Calibri" w:hAnsi="Calibri"/>
                <w:b w:val="0"/>
                <w:sz w:val="18"/>
              </w:rPr>
              <w:t>AI/coding accounts</w:t>
            </w:r>
          </w:p>
        </w:tc>
        <w:tc>
          <w:tcPr>
            <w:tcW w:type="dxa" w:w="3500"/>
            <w:vAlign w:val="top"/>
            <w:tcMar>
              <w:top w:w="80" w:type="dxa"/>
              <w:bottom w:w="80" w:type="dxa"/>
              <w:start w:w="120" w:type="dxa"/>
              <w:end w:w="120" w:type="dxa"/>
            </w:tcMar>
          </w:tcPr>
          <w:p>
            <w:pPr>
              <w:pStyle w:val="TableText"/>
              <w:jc w:val="left"/>
            </w:pPr>
            <w:r>
              <w:rPr>
                <w:rFonts w:ascii="Calibri" w:hAnsi="Calibri"/>
                <w:b w:val="0"/>
                <w:sz w:val="18"/>
              </w:rPr>
              <w:t>Schedule 9-D</w:t>
            </w:r>
          </w:p>
        </w:tc>
        <w:tc>
          <w:tcPr>
            <w:tcW w:type="dxa" w:w="18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100"/>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60"/>
            <w:vAlign w:val="top"/>
            <w:tcMar>
              <w:top w:w="80" w:type="dxa"/>
              <w:bottom w:w="80" w:type="dxa"/>
              <w:start w:w="120" w:type="dxa"/>
              <w:end w:w="120" w:type="dxa"/>
            </w:tcMar>
          </w:tcPr>
          <w:p>
            <w:pPr>
              <w:pStyle w:val="TableText"/>
              <w:jc w:val="left"/>
            </w:pPr>
            <w:r>
              <w:rPr>
                <w:rFonts w:ascii="Calibri" w:hAnsi="Calibri"/>
                <w:b w:val="0"/>
                <w:sz w:val="18"/>
              </w:rPr>
              <w:t>[FACT]</w:t>
            </w:r>
          </w:p>
        </w:tc>
      </w:tr>
    </w:tbl>
    <w:p>
      <w:pPr>
        <w:spacing w:after="40"/>
      </w:pPr>
    </w:p>
    <w:p>
      <w:pPr>
        <w:keepNext/>
        <w:spacing w:before="40" w:after="80"/>
      </w:pPr>
      <w:r>
        <w:rPr>
          <w:rFonts w:ascii="Calibri" w:hAnsi="Calibri"/>
          <w:i/>
          <w:color w:val="5D6874"/>
          <w:sz w:val="17"/>
        </w:rPr>
        <w:t>Continuation - remaining fields for the same rows.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844"/>
        <w:gridCol w:w="2127"/>
        <w:gridCol w:w="1844"/>
        <w:gridCol w:w="1844"/>
        <w:gridCol w:w="1701"/>
      </w:tblGrid>
      <w:tr>
        <w:trPr>
          <w:cantSplit w:val="true"/>
          <w:tblHeader w:val="true"/>
        </w:trPr>
        <w:tc>
          <w:tcPr>
            <w:tcW w:type="dxa" w:w="1844"/>
            <w:vAlign w:val="center"/>
            <w:shd w:fill="1F4D78"/>
            <w:tcMar>
              <w:top w:w="80" w:type="dxa"/>
              <w:bottom w:w="80" w:type="dxa"/>
              <w:start w:w="120" w:type="dxa"/>
              <w:end w:w="120" w:type="dxa"/>
            </w:tcMar>
          </w:tcPr>
          <w:p>
            <w:pPr>
              <w:pStyle w:val="TableText"/>
              <w:jc w:val="left"/>
            </w:pPr>
            <w:r>
              <w:rPr>
                <w:rFonts w:ascii="Calibri" w:hAnsi="Calibri"/>
                <w:b/>
                <w:color w:val="FFFFFF"/>
                <w:sz w:val="17"/>
              </w:rPr>
              <w:t>Asset/account</w:t>
            </w:r>
          </w:p>
        </w:tc>
        <w:tc>
          <w:tcPr>
            <w:tcW w:type="dxa" w:w="2127"/>
            <w:vAlign w:val="center"/>
            <w:shd w:fill="1F4D78"/>
            <w:tcMar>
              <w:top w:w="80" w:type="dxa"/>
              <w:bottom w:w="80" w:type="dxa"/>
              <w:start w:w="120" w:type="dxa"/>
              <w:end w:w="120" w:type="dxa"/>
            </w:tcMar>
          </w:tcPr>
          <w:p>
            <w:pPr>
              <w:pStyle w:val="TableText"/>
              <w:jc w:val="left"/>
            </w:pPr>
            <w:r>
              <w:rPr>
                <w:rFonts w:ascii="Calibri" w:hAnsi="Calibri"/>
                <w:b/>
                <w:color w:val="FFFFFF"/>
                <w:sz w:val="17"/>
              </w:rPr>
              <w:t>Current owners/admins/recovery</w:t>
            </w:r>
          </w:p>
        </w:tc>
        <w:tc>
          <w:tcPr>
            <w:tcW w:type="dxa" w:w="1844"/>
            <w:vAlign w:val="center"/>
            <w:shd w:fill="1F4D78"/>
            <w:tcMar>
              <w:top w:w="80" w:type="dxa"/>
              <w:bottom w:w="80" w:type="dxa"/>
              <w:start w:w="120" w:type="dxa"/>
              <w:end w:w="120" w:type="dxa"/>
            </w:tcMar>
          </w:tcPr>
          <w:p>
            <w:pPr>
              <w:pStyle w:val="TableText"/>
              <w:jc w:val="left"/>
            </w:pPr>
            <w:r>
              <w:rPr>
                <w:rFonts w:ascii="Calibri" w:hAnsi="Calibri"/>
                <w:b/>
                <w:color w:val="FFFFFF"/>
                <w:sz w:val="17"/>
              </w:rPr>
              <w:t>Asset controlled</w:t>
            </w:r>
          </w:p>
        </w:tc>
        <w:tc>
          <w:tcPr>
            <w:tcW w:type="dxa" w:w="1844"/>
            <w:vAlign w:val="center"/>
            <w:shd w:fill="1F4D78"/>
            <w:tcMar>
              <w:top w:w="80" w:type="dxa"/>
              <w:bottom w:w="80" w:type="dxa"/>
              <w:start w:w="120" w:type="dxa"/>
              <w:end w:w="120" w:type="dxa"/>
            </w:tcMar>
          </w:tcPr>
          <w:p>
            <w:pPr>
              <w:pStyle w:val="TableText"/>
              <w:jc w:val="left"/>
            </w:pPr>
            <w:r>
              <w:rPr>
                <w:rFonts w:ascii="Calibri" w:hAnsi="Calibri"/>
                <w:b/>
                <w:color w:val="FFFFFF"/>
                <w:sz w:val="17"/>
              </w:rPr>
              <w:t>Transfer to Company status</w:t>
            </w:r>
          </w:p>
        </w:tc>
        <w:tc>
          <w:tcPr>
            <w:tcW w:type="dxa" w:w="1701"/>
            <w:vAlign w:val="center"/>
            <w:shd w:fill="1F4D78"/>
            <w:tcMar>
              <w:top w:w="80" w:type="dxa"/>
              <w:bottom w:w="80" w:type="dxa"/>
              <w:start w:w="120" w:type="dxa"/>
              <w:end w:w="120" w:type="dxa"/>
            </w:tcMar>
          </w:tcPr>
          <w:p>
            <w:pPr>
              <w:pStyle w:val="TableText"/>
              <w:jc w:val="left"/>
            </w:pPr>
            <w:r>
              <w:rPr>
                <w:rFonts w:ascii="Calibri" w:hAnsi="Calibri"/>
                <w:b/>
                <w:color w:val="FFFFFF"/>
                <w:sz w:val="17"/>
              </w:rPr>
              <w:t>Evidence</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GitHub personal user</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Identity/commits/admin</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Provider export</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GitHub organization</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Repositories/workflows</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Org settings/export</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Private monorepo</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Source/history</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Repo export/bundle</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OSS mirror</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Prospective OSS source</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Private as reviewed</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Visibility/audit log</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Public npm accounts/scopes</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Public package identifiers</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npm export/invoices</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Private registry</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Metadata/tarballs</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Cloudflare/R2 records</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Domain</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Brand/site/email</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Registrar record/invoice</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Cloudflare</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DNS/Access/Workers/R2</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Account export</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Railway</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Hosting/databases</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Project export/invoice</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Email</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Legal/support identity</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Admin export</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Discord/community</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Community/bot identity</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Platform settings</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Password manager</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Credentials/recovery</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Access report</w:t>
            </w:r>
          </w:p>
        </w:tc>
      </w:tr>
      <w:tr>
        <w:trPr>
          <w:cantSplit w:val="true"/>
        </w:trPr>
        <w:tc>
          <w:tcPr>
            <w:tcW w:type="dxa" w:w="1844"/>
            <w:vAlign w:val="top"/>
            <w:tcMar>
              <w:top w:w="80" w:type="dxa"/>
              <w:bottom w:w="80" w:type="dxa"/>
              <w:start w:w="120" w:type="dxa"/>
              <w:end w:w="120" w:type="dxa"/>
            </w:tcMar>
          </w:tcPr>
          <w:p>
            <w:pPr>
              <w:pStyle w:val="TableText"/>
              <w:jc w:val="left"/>
            </w:pPr>
            <w:r>
              <w:rPr>
                <w:rFonts w:ascii="Calibri" w:hAnsi="Calibri"/>
                <w:b w:val="0"/>
                <w:sz w:val="18"/>
              </w:rPr>
              <w:t>AI/coding accounts</w:t>
            </w:r>
          </w:p>
        </w:tc>
        <w:tc>
          <w:tcPr>
            <w:tcW w:type="dxa" w:w="212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Creation records</w:t>
            </w:r>
          </w:p>
        </w:tc>
        <w:tc>
          <w:tcPr>
            <w:tcW w:type="dxa" w:w="1844"/>
            <w:vAlign w:val="top"/>
            <w:tcMar>
              <w:top w:w="80" w:type="dxa"/>
              <w:bottom w:w="80" w:type="dxa"/>
              <w:start w:w="120" w:type="dxa"/>
              <w:end w:w="120" w:type="dxa"/>
            </w:tcMar>
          </w:tcPr>
          <w:p>
            <w:pPr>
              <w:pStyle w:val="TableText"/>
              <w:jc w:val="left"/>
            </w:pPr>
            <w:r>
              <w:rPr>
                <w:rFonts w:ascii="Calibri" w:hAnsi="Calibri"/>
                <w:b w:val="0"/>
                <w:sz w:val="18"/>
              </w:rPr>
              <w:t>[STATUS]</w:t>
            </w:r>
          </w:p>
        </w:tc>
        <w:tc>
          <w:tcPr>
            <w:tcW w:type="dxa" w:w="1701"/>
            <w:vAlign w:val="top"/>
            <w:tcMar>
              <w:top w:w="80" w:type="dxa"/>
              <w:bottom w:w="80" w:type="dxa"/>
              <w:start w:w="120" w:type="dxa"/>
              <w:end w:w="120" w:type="dxa"/>
            </w:tcMar>
          </w:tcPr>
          <w:p>
            <w:pPr>
              <w:pStyle w:val="TableText"/>
              <w:jc w:val="left"/>
            </w:pPr>
            <w:r>
              <w:rPr>
                <w:rFonts w:ascii="Calibri" w:hAnsi="Calibri"/>
                <w:b w:val="0"/>
                <w:sz w:val="18"/>
              </w:rPr>
              <w:t>Provider export/invoices</w:t>
            </w:r>
          </w:p>
        </w:tc>
      </w:tr>
    </w:tbl>
    <w:p>
      <w:pPr>
        <w:spacing w:after="40"/>
      </w:pPr>
    </w:p>
    <w:p>
      <w:pPr>
        <w:pStyle w:val="Heading1"/>
        <w:pageBreakBefore/>
      </w:pPr>
      <w:r>
        <w:rPr>
          <w:rFonts w:ascii="Calibri" w:hAnsi="Calibri"/>
          <w:b/>
        </w:rPr>
        <w:t>Schedule 9-G - Third-party dependencies, assets, and notices</w:t>
      </w:r>
    </w:p>
    <w:p>
      <w:pPr>
        <w:keepLines w:val="0"/>
        <w:widowControl/>
      </w:pPr>
      <w:r>
        <w:rPr>
          <w:rFonts w:ascii="Calibri" w:hAnsi="Calibri"/>
          <w:b w:val="0"/>
          <w:sz w:val="21"/>
        </w:rPr>
        <w:t>This schedule shall be generated from the release commit and then reviewed, not reconstructed from memory.</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300"/>
        <w:gridCol w:w="1050"/>
        <w:gridCol w:w="1050"/>
        <w:gridCol w:w="1300"/>
        <w:gridCol w:w="2150"/>
        <w:gridCol w:w="1360"/>
        <w:gridCol w:w="1150"/>
      </w:tblGrid>
      <w:tr>
        <w:trPr>
          <w:cantSplit w:val="true"/>
          <w:tblHeader w:val="true"/>
        </w:trPr>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Component/asset</w:t>
            </w:r>
          </w:p>
        </w:tc>
        <w:tc>
          <w:tcPr>
            <w:tcW w:type="dxa" w:w="1050"/>
            <w:vAlign w:val="center"/>
            <w:shd w:fill="1F4D78"/>
            <w:tcMar>
              <w:top w:w="80" w:type="dxa"/>
              <w:bottom w:w="80" w:type="dxa"/>
              <w:start w:w="120" w:type="dxa"/>
              <w:end w:w="120" w:type="dxa"/>
            </w:tcMar>
          </w:tcPr>
          <w:p>
            <w:pPr>
              <w:pStyle w:val="TableText"/>
              <w:jc w:val="left"/>
            </w:pPr>
            <w:r>
              <w:rPr>
                <w:rFonts w:ascii="Calibri" w:hAnsi="Calibri"/>
                <w:b/>
                <w:color w:val="FFFFFF"/>
                <w:sz w:val="17"/>
              </w:rPr>
              <w:t>Version/source</w:t>
            </w:r>
          </w:p>
        </w:tc>
        <w:tc>
          <w:tcPr>
            <w:tcW w:type="dxa" w:w="1050"/>
            <w:vAlign w:val="center"/>
            <w:shd w:fill="1F4D78"/>
            <w:tcMar>
              <w:top w:w="80" w:type="dxa"/>
              <w:bottom w:w="80" w:type="dxa"/>
              <w:start w:w="120" w:type="dxa"/>
              <w:end w:w="120" w:type="dxa"/>
            </w:tcMar>
          </w:tcPr>
          <w:p>
            <w:pPr>
              <w:pStyle w:val="TableText"/>
              <w:jc w:val="left"/>
            </w:pPr>
            <w:r>
              <w:rPr>
                <w:rFonts w:ascii="Calibri" w:hAnsi="Calibri"/>
                <w:b/>
                <w:color w:val="FFFFFF"/>
                <w:sz w:val="17"/>
              </w:rPr>
              <w:t>License/terms</w:t>
            </w:r>
          </w:p>
        </w:tc>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Used in which package/surface</w:t>
            </w:r>
          </w:p>
        </w:tc>
        <w:tc>
          <w:tcPr>
            <w:tcW w:type="dxa" w:w="2150"/>
            <w:vAlign w:val="center"/>
            <w:shd w:fill="1F4D78"/>
            <w:tcMar>
              <w:top w:w="80" w:type="dxa"/>
              <w:bottom w:w="80" w:type="dxa"/>
              <w:start w:w="120" w:type="dxa"/>
              <w:end w:w="120" w:type="dxa"/>
            </w:tcMar>
          </w:tcPr>
          <w:p>
            <w:pPr>
              <w:pStyle w:val="TableText"/>
              <w:jc w:val="left"/>
            </w:pPr>
            <w:r>
              <w:rPr>
                <w:rFonts w:ascii="Calibri" w:hAnsi="Calibri"/>
                <w:b/>
                <w:color w:val="FFFFFF"/>
                <w:sz w:val="17"/>
              </w:rPr>
              <w:t>Copied, linked, bundled, modified, or referenced</w:t>
            </w:r>
          </w:p>
        </w:tc>
        <w:tc>
          <w:tcPr>
            <w:tcW w:type="dxa" w:w="1360"/>
            <w:vAlign w:val="center"/>
            <w:shd w:fill="1F4D78"/>
            <w:tcMar>
              <w:top w:w="80" w:type="dxa"/>
              <w:bottom w:w="80" w:type="dxa"/>
              <w:start w:w="120" w:type="dxa"/>
              <w:end w:w="120" w:type="dxa"/>
            </w:tcMar>
          </w:tcPr>
          <w:p>
            <w:pPr>
              <w:pStyle w:val="TableText"/>
              <w:jc w:val="left"/>
            </w:pPr>
            <w:r>
              <w:rPr>
                <w:rFonts w:ascii="Calibri" w:hAnsi="Calibri"/>
                <w:b/>
                <w:color w:val="FFFFFF"/>
                <w:sz w:val="17"/>
              </w:rPr>
              <w:t>Required notice/source duty</w:t>
            </w:r>
          </w:p>
        </w:tc>
        <w:tc>
          <w:tcPr>
            <w:tcW w:type="dxa" w:w="1150"/>
            <w:vAlign w:val="center"/>
            <w:shd w:fill="1F4D78"/>
            <w:tcMar>
              <w:top w:w="80" w:type="dxa"/>
              <w:bottom w:w="80" w:type="dxa"/>
              <w:start w:w="120" w:type="dxa"/>
              <w:end w:w="120" w:type="dxa"/>
            </w:tcMar>
          </w:tcPr>
          <w:p>
            <w:pPr>
              <w:pStyle w:val="TableText"/>
              <w:jc w:val="left"/>
            </w:pPr>
            <w:r>
              <w:rPr>
                <w:rFonts w:ascii="Calibri" w:hAnsi="Calibri"/>
                <w:b/>
                <w:color w:val="FFFFFF"/>
                <w:sz w:val="17"/>
              </w:rPr>
              <w:t>Compliance status</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Direct npm dependencies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[SBOM]</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Transitive npm dependencies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[GENERATED LOCKFILE/SBOM]</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[SBOM]</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Linked/bundled [REPORT]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[GENERATED]</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Python dependencies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[uv lock/SBOM]</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[SBOM]</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Support service</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[REPORT]</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Fonts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[LICENSE]</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Site/docs/product</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Hosted/bundled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Preserve license</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Icons/illustrations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[LICENSE/OWNED]</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[SURFACES]</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[DUTY]</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Video/media</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[LICENSE/OWNED]</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[SURFACES]</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[DUTY]</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Standards/framework text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[PUBLIC/PROPRIETARY TERMS]</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Compliance catalogs/docs</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Reference vs copied text</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Citation/permission</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Data/test fixtures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[LIST]</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[SOURCE/TERMS]</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Tests/examples</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[METHOD]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Privacy/license</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AI-generated assets</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Schedule 9-D</w:t>
            </w:r>
          </w:p>
        </w:tc>
        <w:tc>
          <w:tcPr>
            <w:tcW w:type="dxa" w:w="1050"/>
            <w:vAlign w:val="top"/>
            <w:tcMar>
              <w:top w:w="80" w:type="dxa"/>
              <w:bottom w:w="80" w:type="dxa"/>
              <w:start w:w="120" w:type="dxa"/>
              <w:end w:w="120" w:type="dxa"/>
            </w:tcMar>
          </w:tcPr>
          <w:p>
            <w:pPr>
              <w:pStyle w:val="TableText"/>
              <w:jc w:val="left"/>
            </w:pPr>
            <w:r>
              <w:rPr>
                <w:rFonts w:ascii="Calibri" w:hAnsi="Calibri"/>
                <w:b w:val="0"/>
                <w:sz w:val="18"/>
              </w:rPr>
              <w:t>Provider terms</w:t>
            </w:r>
          </w:p>
        </w:tc>
        <w:tc>
          <w:tcPr>
            <w:tcW w:type="dxa" w:w="1300"/>
            <w:vAlign w:val="top"/>
            <w:tcMar>
              <w:top w:w="80" w:type="dxa"/>
              <w:bottom w:w="80" w:type="dxa"/>
              <w:start w:w="120" w:type="dxa"/>
              <w:end w:w="120" w:type="dxa"/>
            </w:tcMar>
          </w:tcPr>
          <w:p>
            <w:pPr>
              <w:pStyle w:val="TableText"/>
              <w:jc w:val="left"/>
            </w:pPr>
            <w:r>
              <w:rPr>
                <w:rFonts w:ascii="Calibri" w:hAnsi="Calibri"/>
                <w:b w:val="0"/>
                <w:sz w:val="18"/>
              </w:rPr>
              <w:t>[SURFACES]</w:t>
            </w:r>
          </w:p>
        </w:tc>
        <w:tc>
          <w:tcPr>
            <w:tcW w:type="dxa" w:w="2150"/>
            <w:vAlign w:val="top"/>
            <w:tcMar>
              <w:top w:w="80" w:type="dxa"/>
              <w:bottom w:w="80" w:type="dxa"/>
              <w:start w:w="120" w:type="dxa"/>
              <w:end w:w="120" w:type="dxa"/>
            </w:tcMar>
          </w:tcPr>
          <w:p>
            <w:pPr>
              <w:pStyle w:val="TableText"/>
              <w:jc w:val="left"/>
            </w:pPr>
            <w:r>
              <w:rPr>
                <w:rFonts w:ascii="Calibri" w:hAnsi="Calibri"/>
                <w:b w:val="0"/>
                <w:sz w:val="18"/>
              </w:rPr>
              <w:t>Generated/edited</w:t>
            </w:r>
          </w:p>
        </w:tc>
        <w:tc>
          <w:tcPr>
            <w:tcW w:type="dxa" w:w="1360"/>
            <w:vAlign w:val="top"/>
            <w:tcMar>
              <w:top w:w="80" w:type="dxa"/>
              <w:bottom w:w="80" w:type="dxa"/>
              <w:start w:w="120" w:type="dxa"/>
              <w:end w:w="120" w:type="dxa"/>
            </w:tcMar>
          </w:tcPr>
          <w:p>
            <w:pPr>
              <w:pStyle w:val="TableText"/>
              <w:jc w:val="left"/>
            </w:pPr>
            <w:r>
              <w:rPr>
                <w:rFonts w:ascii="Calibri" w:hAnsi="Calibri"/>
                <w:b w:val="0"/>
                <w:sz w:val="18"/>
              </w:rPr>
              <w:t>Attribution/limits [COUNSEL]</w:t>
            </w:r>
          </w:p>
        </w:tc>
        <w:tc>
          <w:tcPr>
            <w:tcW w:type="dxa" w:w="1150"/>
            <w:vAlign w:val="top"/>
            <w:tcMar>
              <w:top w:w="80" w:type="dxa"/>
              <w:bottom w:w="80" w:type="dxa"/>
              <w:start w:w="120" w:type="dxa"/>
              <w:end w:w="120" w:type="dxa"/>
            </w:tcMar>
          </w:tcPr>
          <w:p>
            <w:pPr>
              <w:pStyle w:val="TableText"/>
              <w:jc w:val="left"/>
            </w:pPr>
            <w:r>
              <w:rPr>
                <w:rFonts w:ascii="Calibri" w:hAnsi="Calibri"/>
                <w:b w:val="0"/>
                <w:sz w:val="18"/>
              </w:rPr>
              <w:t>[REVIEW]</w:t>
            </w:r>
          </w:p>
        </w:tc>
      </w:tr>
    </w:tbl>
    <w:p>
      <w:pPr>
        <w:spacing w:after="40"/>
      </w:pPr>
    </w:p>
    <w:p>
      <w:pPr>
        <w:keepLines w:val="0"/>
        <w:widowControl/>
      </w:pPr>
      <w:r>
        <w:rPr>
          <w:rFonts w:ascii="Calibri" w:hAnsi="Calibri"/>
          <w:b w:val="0"/>
          <w:sz w:val="21"/>
        </w:rPr>
        <w:t>Attach a CycloneDX or SPDX SBOM, license scan, bundled-file report, dependency lockfiles, and third-party notices. A CI pass is evidence, not a legal conclusion.</w:t>
      </w:r>
    </w:p>
    <w:p>
      <w:pPr>
        <w:pStyle w:val="Heading1"/>
        <w:pageBreakBefore/>
      </w:pPr>
      <w:r>
        <w:rPr>
          <w:rFonts w:ascii="Calibri" w:hAnsi="Calibri"/>
          <w:b/>
        </w:rPr>
        <w:t>Schedule 9-H - Father-paid equipment, subscriptions, and services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3228"/>
        <w:gridCol w:w="2152"/>
        <w:gridCol w:w="1291"/>
        <w:gridCol w:w="1399"/>
        <w:gridCol w:w="1290"/>
      </w:tblGrid>
      <w:tr>
        <w:trPr>
          <w:cantSplit w:val="true"/>
          <w:tblHeader w:val="true"/>
        </w:trPr>
        <w:tc>
          <w:tcPr>
            <w:tcW w:type="dxa" w:w="3228"/>
            <w:vAlign w:val="center"/>
            <w:shd w:fill="1F4D78"/>
            <w:tcMar>
              <w:top w:w="80" w:type="dxa"/>
              <w:bottom w:w="80" w:type="dxa"/>
              <w:start w:w="120" w:type="dxa"/>
              <w:end w:w="120" w:type="dxa"/>
            </w:tcMar>
          </w:tcPr>
          <w:p>
            <w:pPr>
              <w:pStyle w:val="TableText"/>
              <w:jc w:val="left"/>
            </w:pPr>
            <w:r>
              <w:rPr>
                <w:rFonts w:ascii="Calibri" w:hAnsi="Calibri"/>
                <w:b/>
                <w:color w:val="FFFFFF"/>
                <w:sz w:val="17"/>
              </w:rPr>
              <w:t>Item</w:t>
            </w:r>
          </w:p>
        </w:tc>
        <w:tc>
          <w:tcPr>
            <w:tcW w:type="dxa" w:w="2152"/>
            <w:vAlign w:val="center"/>
            <w:shd w:fill="1F4D78"/>
            <w:tcMar>
              <w:top w:w="80" w:type="dxa"/>
              <w:bottom w:w="80" w:type="dxa"/>
              <w:start w:w="120" w:type="dxa"/>
              <w:end w:w="120" w:type="dxa"/>
            </w:tcMar>
          </w:tcPr>
          <w:p>
            <w:pPr>
              <w:pStyle w:val="TableText"/>
              <w:jc w:val="left"/>
            </w:pPr>
            <w:r>
              <w:rPr>
                <w:rFonts w:ascii="Calibri" w:hAnsi="Calibri"/>
                <w:b/>
                <w:color w:val="FFFFFF"/>
                <w:sz w:val="17"/>
              </w:rPr>
              <w:t>Payer/account holder</w:t>
            </w:r>
          </w:p>
        </w:tc>
        <w:tc>
          <w:tcPr>
            <w:tcW w:type="dxa" w:w="1291"/>
            <w:vAlign w:val="center"/>
            <w:shd w:fill="1F4D78"/>
            <w:tcMar>
              <w:top w:w="80" w:type="dxa"/>
              <w:bottom w:w="80" w:type="dxa"/>
              <w:start w:w="120" w:type="dxa"/>
              <w:end w:w="120" w:type="dxa"/>
            </w:tcMar>
          </w:tcPr>
          <w:p>
            <w:pPr>
              <w:pStyle w:val="TableText"/>
              <w:jc w:val="left"/>
            </w:pPr>
            <w:r>
              <w:rPr>
                <w:rFonts w:ascii="Calibri" w:hAnsi="Calibri"/>
                <w:b/>
                <w:color w:val="FFFFFF"/>
                <w:sz w:val="17"/>
              </w:rPr>
              <w:t>Actual user</w:t>
            </w:r>
          </w:p>
        </w:tc>
        <w:tc>
          <w:tcPr>
            <w:tcW w:type="dxa" w:w="1399"/>
            <w:vAlign w:val="center"/>
            <w:shd w:fill="1F4D78"/>
            <w:tcMar>
              <w:top w:w="80" w:type="dxa"/>
              <w:bottom w:w="80" w:type="dxa"/>
              <w:start w:w="120" w:type="dxa"/>
              <w:end w:w="120" w:type="dxa"/>
            </w:tcMar>
          </w:tcPr>
          <w:p>
            <w:pPr>
              <w:pStyle w:val="TableText"/>
              <w:jc w:val="left"/>
            </w:pPr>
            <w:r>
              <w:rPr>
                <w:rFonts w:ascii="Calibri" w:hAnsi="Calibri"/>
                <w:b/>
                <w:color w:val="FFFFFF"/>
                <w:sz w:val="17"/>
              </w:rPr>
              <w:t>Purchase/date</w:t>
            </w:r>
          </w:p>
        </w:tc>
        <w:tc>
          <w:tcPr>
            <w:tcW w:type="dxa" w:w="1290"/>
            <w:vAlign w:val="center"/>
            <w:shd w:fill="1F4D78"/>
            <w:tcMar>
              <w:top w:w="80" w:type="dxa"/>
              <w:bottom w:w="80" w:type="dxa"/>
              <w:start w:w="120" w:type="dxa"/>
              <w:end w:w="120" w:type="dxa"/>
            </w:tcMar>
          </w:tcPr>
          <w:p>
            <w:pPr>
              <w:pStyle w:val="TableText"/>
              <w:jc w:val="left"/>
            </w:pPr>
            <w:r>
              <w:rPr>
                <w:rFonts w:ascii="Calibri" w:hAnsi="Calibri"/>
                <w:b/>
                <w:color w:val="FFFFFF"/>
                <w:sz w:val="17"/>
              </w:rPr>
              <w:t>Business use</w:t>
            </w:r>
          </w:p>
        </w:tc>
      </w:tr>
      <w:tr>
        <w:trPr>
          <w:cantSplit w:val="true"/>
        </w:trPr>
        <w:tc>
          <w:tcPr>
            <w:tcW w:type="dxa" w:w="3228"/>
            <w:vAlign w:val="top"/>
            <w:tcMar>
              <w:top w:w="80" w:type="dxa"/>
              <w:bottom w:w="80" w:type="dxa"/>
              <w:start w:w="120" w:type="dxa"/>
              <w:end w:w="120" w:type="dxa"/>
            </w:tcMar>
          </w:tcPr>
          <w:p>
            <w:pPr>
              <w:pStyle w:val="TableText"/>
              <w:jc w:val="left"/>
            </w:pPr>
            <w:r>
              <w:rPr>
                <w:rFonts w:ascii="Calibri" w:hAnsi="Calibri"/>
                <w:b w:val="0"/>
                <w:sz w:val="18"/>
              </w:rPr>
              <w:t>Development computer(s)</w:t>
            </w:r>
          </w:p>
        </w:tc>
        <w:tc>
          <w:tcPr>
            <w:tcW w:type="dxa" w:w="2152"/>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1"/>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39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3228"/>
            <w:vAlign w:val="top"/>
            <w:tcMar>
              <w:top w:w="80" w:type="dxa"/>
              <w:bottom w:w="80" w:type="dxa"/>
              <w:start w:w="120" w:type="dxa"/>
              <w:end w:w="120" w:type="dxa"/>
            </w:tcMar>
          </w:tcPr>
          <w:p>
            <w:pPr>
              <w:pStyle w:val="TableText"/>
              <w:jc w:val="left"/>
            </w:pPr>
            <w:r>
              <w:rPr>
                <w:rFonts w:ascii="Calibri" w:hAnsi="Calibri"/>
                <w:b w:val="0"/>
                <w:sz w:val="18"/>
              </w:rPr>
              <w:t>Domain/registrar charges</w:t>
            </w:r>
          </w:p>
        </w:tc>
        <w:tc>
          <w:tcPr>
            <w:tcW w:type="dxa" w:w="2152"/>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9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3228"/>
            <w:vAlign w:val="top"/>
            <w:tcMar>
              <w:top w:w="80" w:type="dxa"/>
              <w:bottom w:w="80" w:type="dxa"/>
              <w:start w:w="120" w:type="dxa"/>
              <w:end w:w="120" w:type="dxa"/>
            </w:tcMar>
          </w:tcPr>
          <w:p>
            <w:pPr>
              <w:pStyle w:val="TableText"/>
              <w:jc w:val="left"/>
            </w:pPr>
            <w:r>
              <w:rPr>
                <w:rFonts w:ascii="Calibri" w:hAnsi="Calibri"/>
                <w:b w:val="0"/>
                <w:sz w:val="18"/>
              </w:rPr>
              <w:t>GitHub/npm/cloud subscriptions</w:t>
            </w:r>
          </w:p>
        </w:tc>
        <w:tc>
          <w:tcPr>
            <w:tcW w:type="dxa" w:w="2152"/>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1"/>
            <w:vAlign w:val="top"/>
            <w:tcMar>
              <w:top w:w="80" w:type="dxa"/>
              <w:bottom w:w="80" w:type="dxa"/>
              <w:start w:w="120" w:type="dxa"/>
              <w:end w:w="120" w:type="dxa"/>
            </w:tcMar>
          </w:tcPr>
          <w:p>
            <w:pPr>
              <w:pStyle w:val="TableText"/>
              <w:jc w:val="left"/>
            </w:pPr>
            <w:r>
              <w:rPr>
                <w:rFonts w:ascii="Calibri" w:hAnsi="Calibri"/>
                <w:b w:val="0"/>
                <w:sz w:val="18"/>
              </w:rPr>
              <w:t>Liam/Company</w:t>
            </w:r>
          </w:p>
        </w:tc>
        <w:tc>
          <w:tcPr>
            <w:tcW w:type="dxa" w:w="139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3228"/>
            <w:vAlign w:val="top"/>
            <w:tcMar>
              <w:top w:w="80" w:type="dxa"/>
              <w:bottom w:w="80" w:type="dxa"/>
              <w:start w:w="120" w:type="dxa"/>
              <w:end w:w="120" w:type="dxa"/>
            </w:tcMar>
          </w:tcPr>
          <w:p>
            <w:pPr>
              <w:pStyle w:val="TableText"/>
              <w:jc w:val="left"/>
            </w:pPr>
            <w:r>
              <w:rPr>
                <w:rFonts w:ascii="Calibri" w:hAnsi="Calibri"/>
                <w:b w:val="0"/>
                <w:sz w:val="18"/>
              </w:rPr>
              <w:t>AI subscriptions/API credits</w:t>
            </w:r>
          </w:p>
        </w:tc>
        <w:tc>
          <w:tcPr>
            <w:tcW w:type="dxa" w:w="2152"/>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1"/>
            <w:vAlign w:val="top"/>
            <w:tcMar>
              <w:top w:w="80" w:type="dxa"/>
              <w:bottom w:w="80" w:type="dxa"/>
              <w:start w:w="120" w:type="dxa"/>
              <w:end w:w="120" w:type="dxa"/>
            </w:tcMar>
          </w:tcPr>
          <w:p>
            <w:pPr>
              <w:pStyle w:val="TableText"/>
              <w:jc w:val="left"/>
            </w:pPr>
            <w:r>
              <w:rPr>
                <w:rFonts w:ascii="Calibri" w:hAnsi="Calibri"/>
                <w:b w:val="0"/>
                <w:sz w:val="18"/>
              </w:rPr>
              <w:t>Liam/Company</w:t>
            </w:r>
          </w:p>
        </w:tc>
        <w:tc>
          <w:tcPr>
            <w:tcW w:type="dxa" w:w="139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0"/>
            <w:vAlign w:val="top"/>
            <w:tcMar>
              <w:top w:w="80" w:type="dxa"/>
              <w:bottom w:w="80" w:type="dxa"/>
              <w:start w:w="120" w:type="dxa"/>
              <w:end w:w="120" w:type="dxa"/>
            </w:tcMar>
          </w:tcPr>
          <w:p>
            <w:pPr>
              <w:pStyle w:val="TableText"/>
              <w:jc w:val="left"/>
            </w:pPr>
            <w:r>
              <w:rPr>
                <w:rFonts w:ascii="Calibri" w:hAnsi="Calibri"/>
                <w:b w:val="0"/>
                <w:sz w:val="18"/>
              </w:rPr>
              <w:t>[FACT]</w:t>
            </w:r>
          </w:p>
        </w:tc>
      </w:tr>
      <w:tr>
        <w:trPr>
          <w:cantSplit w:val="true"/>
        </w:trPr>
        <w:tc>
          <w:tcPr>
            <w:tcW w:type="dxa" w:w="3228"/>
            <w:vAlign w:val="top"/>
            <w:tcMar>
              <w:top w:w="80" w:type="dxa"/>
              <w:bottom w:w="80" w:type="dxa"/>
              <w:start w:w="120" w:type="dxa"/>
              <w:end w:w="120" w:type="dxa"/>
            </w:tcMar>
          </w:tcPr>
          <w:p>
            <w:pPr>
              <w:pStyle w:val="TableText"/>
              <w:jc w:val="left"/>
            </w:pPr>
            <w:r>
              <w:rPr>
                <w:rFonts w:ascii="Calibri" w:hAnsi="Calibri"/>
                <w:b w:val="0"/>
                <w:sz w:val="18"/>
              </w:rPr>
              <w:t>Other equipment/services</w:t>
            </w:r>
          </w:p>
        </w:tc>
        <w:tc>
          <w:tcPr>
            <w:tcW w:type="dxa" w:w="2152"/>
            <w:vAlign w:val="top"/>
            <w:tcMar>
              <w:top w:w="80" w:type="dxa"/>
              <w:bottom w:w="80" w:type="dxa"/>
              <w:start w:w="120" w:type="dxa"/>
              <w:end w:w="120" w:type="dxa"/>
            </w:tcMar>
          </w:tcPr>
          <w:p>
            <w:pPr>
              <w:pStyle w:val="TableText"/>
              <w:jc w:val="left"/>
            </w:pPr>
            <w:r>
              <w:rPr>
                <w:rFonts w:ascii="Calibri" w:hAnsi="Calibri"/>
                <w:b w:val="0"/>
                <w:sz w:val="18"/>
              </w:rPr>
              <w:t>[ADD]</w:t>
            </w:r>
          </w:p>
        </w:tc>
        <w:tc>
          <w:tcPr>
            <w:tcW w:type="dxa" w:w="1291"/>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39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0"/>
            <w:vAlign w:val="top"/>
            <w:tcMar>
              <w:top w:w="80" w:type="dxa"/>
              <w:bottom w:w="80" w:type="dxa"/>
              <w:start w:w="120" w:type="dxa"/>
              <w:end w:w="120" w:type="dxa"/>
            </w:tcMar>
          </w:tcPr>
          <w:p>
            <w:pPr>
              <w:pStyle w:val="TableText"/>
              <w:jc w:val="left"/>
            </w:pPr>
            <w:r>
              <w:rPr>
                <w:rFonts w:ascii="Calibri" w:hAnsi="Calibri"/>
                <w:b w:val="0"/>
                <w:sz w:val="18"/>
              </w:rPr>
              <w:t>[FACT]</w:t>
            </w:r>
          </w:p>
        </w:tc>
      </w:tr>
    </w:tbl>
    <w:p>
      <w:pPr>
        <w:spacing w:after="40"/>
      </w:pPr>
    </w:p>
    <w:p>
      <w:pPr>
        <w:keepNext/>
        <w:spacing w:before="40" w:after="80"/>
      </w:pPr>
      <w:r>
        <w:rPr>
          <w:rFonts w:ascii="Calibri" w:hAnsi="Calibri"/>
          <w:i/>
          <w:color w:val="5D6874"/>
          <w:sz w:val="17"/>
        </w:rPr>
        <w:t>Continuation - remaining fields for the same rows.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283"/>
        <w:gridCol w:w="1979"/>
        <w:gridCol w:w="1294"/>
        <w:gridCol w:w="2816"/>
        <w:gridCol w:w="988"/>
      </w:tblGrid>
      <w:tr>
        <w:trPr>
          <w:cantSplit w:val="true"/>
          <w:tblHeader w:val="true"/>
        </w:trPr>
        <w:tc>
          <w:tcPr>
            <w:tcW w:type="dxa" w:w="2283"/>
            <w:vAlign w:val="center"/>
            <w:shd w:fill="1F4D78"/>
            <w:tcMar>
              <w:top w:w="80" w:type="dxa"/>
              <w:bottom w:w="80" w:type="dxa"/>
              <w:start w:w="120" w:type="dxa"/>
              <w:end w:w="120" w:type="dxa"/>
            </w:tcMar>
          </w:tcPr>
          <w:p>
            <w:pPr>
              <w:pStyle w:val="TableText"/>
              <w:jc w:val="left"/>
            </w:pPr>
            <w:r>
              <w:rPr>
                <w:rFonts w:ascii="Calibri" w:hAnsi="Calibri"/>
                <w:b/>
                <w:color w:val="FFFFFF"/>
                <w:sz w:val="17"/>
              </w:rPr>
              <w:t>Item</w:t>
            </w:r>
          </w:p>
        </w:tc>
        <w:tc>
          <w:tcPr>
            <w:tcW w:type="dxa" w:w="1979"/>
            <w:vAlign w:val="center"/>
            <w:shd w:fill="1F4D78"/>
            <w:tcMar>
              <w:top w:w="80" w:type="dxa"/>
              <w:bottom w:w="80" w:type="dxa"/>
              <w:start w:w="120" w:type="dxa"/>
              <w:end w:w="120" w:type="dxa"/>
            </w:tcMar>
          </w:tcPr>
          <w:p>
            <w:pPr>
              <w:pStyle w:val="TableText"/>
              <w:jc w:val="left"/>
            </w:pPr>
            <w:r>
              <w:rPr>
                <w:rFonts w:ascii="Calibri" w:hAnsi="Calibri"/>
                <w:b/>
                <w:color w:val="FFFFFF"/>
                <w:sz w:val="17"/>
              </w:rPr>
              <w:t>Current possession/control</w:t>
            </w:r>
          </w:p>
        </w:tc>
        <w:tc>
          <w:tcPr>
            <w:tcW w:type="dxa" w:w="1294"/>
            <w:vAlign w:val="center"/>
            <w:shd w:fill="1F4D78"/>
            <w:tcMar>
              <w:top w:w="80" w:type="dxa"/>
              <w:bottom w:w="80" w:type="dxa"/>
              <w:start w:w="120" w:type="dxa"/>
              <w:end w:w="120" w:type="dxa"/>
            </w:tcMar>
          </w:tcPr>
          <w:p>
            <w:pPr>
              <w:pStyle w:val="TableText"/>
              <w:jc w:val="left"/>
            </w:pPr>
            <w:r>
              <w:rPr>
                <w:rFonts w:ascii="Calibri" w:hAnsi="Calibri"/>
                <w:b/>
                <w:color w:val="FFFFFF"/>
                <w:sz w:val="17"/>
              </w:rPr>
              <w:t>Intended owner</w:t>
            </w:r>
          </w:p>
        </w:tc>
        <w:tc>
          <w:tcPr>
            <w:tcW w:type="dxa" w:w="2816"/>
            <w:vAlign w:val="center"/>
            <w:shd w:fill="1F4D78"/>
            <w:tcMar>
              <w:top w:w="80" w:type="dxa"/>
              <w:bottom w:w="80" w:type="dxa"/>
              <w:start w:w="120" w:type="dxa"/>
              <w:end w:w="120" w:type="dxa"/>
            </w:tcMar>
          </w:tcPr>
          <w:p>
            <w:pPr>
              <w:pStyle w:val="TableText"/>
              <w:jc w:val="left"/>
            </w:pPr>
            <w:r>
              <w:rPr>
                <w:rFonts w:ascii="Calibri" w:hAnsi="Calibri"/>
                <w:b/>
                <w:color w:val="FFFFFF"/>
                <w:sz w:val="17"/>
              </w:rPr>
              <w:t>Needed transfer/consent/reimbursement</w:t>
            </w:r>
          </w:p>
        </w:tc>
        <w:tc>
          <w:tcPr>
            <w:tcW w:type="dxa" w:w="988"/>
            <w:vAlign w:val="center"/>
            <w:shd w:fill="1F4D78"/>
            <w:tcMar>
              <w:top w:w="80" w:type="dxa"/>
              <w:bottom w:w="80" w:type="dxa"/>
              <w:start w:w="120" w:type="dxa"/>
              <w:end w:w="120" w:type="dxa"/>
            </w:tcMar>
          </w:tcPr>
          <w:p>
            <w:pPr>
              <w:pStyle w:val="TableText"/>
              <w:jc w:val="left"/>
            </w:pPr>
            <w:r>
              <w:rPr>
                <w:rFonts w:ascii="Calibri" w:hAnsi="Calibri"/>
                <w:b/>
                <w:color w:val="FFFFFF"/>
                <w:sz w:val="17"/>
              </w:rPr>
              <w:t>CPA treatment</w:t>
            </w:r>
          </w:p>
        </w:tc>
      </w:tr>
      <w:tr>
        <w:trPr>
          <w:cantSplit w:val="true"/>
        </w:trPr>
        <w:tc>
          <w:tcPr>
            <w:tcW w:type="dxa" w:w="2283"/>
            <w:vAlign w:val="top"/>
            <w:tcMar>
              <w:top w:w="80" w:type="dxa"/>
              <w:bottom w:w="80" w:type="dxa"/>
              <w:start w:w="120" w:type="dxa"/>
              <w:end w:w="120" w:type="dxa"/>
            </w:tcMar>
          </w:tcPr>
          <w:p>
            <w:pPr>
              <w:pStyle w:val="TableText"/>
              <w:jc w:val="left"/>
            </w:pPr>
            <w:r>
              <w:rPr>
                <w:rFonts w:ascii="Calibri" w:hAnsi="Calibri"/>
                <w:b w:val="0"/>
                <w:sz w:val="18"/>
              </w:rPr>
              <w:t>Development computer(s)</w:t>
            </w:r>
          </w:p>
        </w:tc>
        <w:tc>
          <w:tcPr>
            <w:tcW w:type="dxa" w:w="197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4"/>
            <w:vAlign w:val="top"/>
            <w:tcMar>
              <w:top w:w="80" w:type="dxa"/>
              <w:bottom w:w="80" w:type="dxa"/>
              <w:start w:w="120" w:type="dxa"/>
              <w:end w:w="120" w:type="dxa"/>
            </w:tcMar>
          </w:tcPr>
          <w:p>
            <w:pPr>
              <w:pStyle w:val="TableText"/>
              <w:jc w:val="left"/>
            </w:pPr>
            <w:r>
              <w:rPr>
                <w:rFonts w:ascii="Calibri" w:hAnsi="Calibri"/>
                <w:b w:val="0"/>
                <w:sz w:val="18"/>
              </w:rPr>
              <w:t>[COUNSEL/FAMILY]</w:t>
            </w:r>
          </w:p>
        </w:tc>
        <w:tc>
          <w:tcPr>
            <w:tcW w:type="dxa" w:w="2816"/>
            <w:vAlign w:val="top"/>
            <w:tcMar>
              <w:top w:w="80" w:type="dxa"/>
              <w:bottom w:w="80" w:type="dxa"/>
              <w:start w:w="120" w:type="dxa"/>
              <w:end w:w="120" w:type="dxa"/>
            </w:tcMar>
          </w:tcPr>
          <w:p>
            <w:pPr>
              <w:pStyle w:val="TableText"/>
              <w:jc w:val="left"/>
            </w:pPr>
            <w:r>
              <w:rPr>
                <w:rFonts w:ascii="Calibri" w:hAnsi="Calibri"/>
                <w:b w:val="0"/>
                <w:sz w:val="18"/>
              </w:rPr>
              <w:t>[ACTION]</w:t>
            </w:r>
          </w:p>
        </w:tc>
        <w:tc>
          <w:tcPr>
            <w:tcW w:type="dxa" w:w="988"/>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283"/>
            <w:vAlign w:val="top"/>
            <w:tcMar>
              <w:top w:w="80" w:type="dxa"/>
              <w:bottom w:w="80" w:type="dxa"/>
              <w:start w:w="120" w:type="dxa"/>
              <w:end w:w="120" w:type="dxa"/>
            </w:tcMar>
          </w:tcPr>
          <w:p>
            <w:pPr>
              <w:pStyle w:val="TableText"/>
              <w:jc w:val="left"/>
            </w:pPr>
            <w:r>
              <w:rPr>
                <w:rFonts w:ascii="Calibri" w:hAnsi="Calibri"/>
                <w:b w:val="0"/>
                <w:sz w:val="18"/>
              </w:rPr>
              <w:t>Domain/registrar charges</w:t>
            </w:r>
          </w:p>
        </w:tc>
        <w:tc>
          <w:tcPr>
            <w:tcW w:type="dxa" w:w="197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4"/>
            <w:vAlign w:val="top"/>
            <w:tcMar>
              <w:top w:w="80" w:type="dxa"/>
              <w:bottom w:w="80" w:type="dxa"/>
              <w:start w:w="120" w:type="dxa"/>
              <w:end w:w="120" w:type="dxa"/>
            </w:tcMar>
          </w:tcPr>
          <w:p>
            <w:pPr>
              <w:pStyle w:val="TableText"/>
              <w:jc w:val="left"/>
            </w:pPr>
            <w:r>
              <w:rPr>
                <w:rFonts w:ascii="Calibri" w:hAnsi="Calibri"/>
                <w:b w:val="0"/>
                <w:sz w:val="18"/>
              </w:rPr>
              <w:t>Company [CONFIRM]</w:t>
            </w:r>
          </w:p>
        </w:tc>
        <w:tc>
          <w:tcPr>
            <w:tcW w:type="dxa" w:w="2816"/>
            <w:vAlign w:val="top"/>
            <w:tcMar>
              <w:top w:w="80" w:type="dxa"/>
              <w:bottom w:w="80" w:type="dxa"/>
              <w:start w:w="120" w:type="dxa"/>
              <w:end w:w="120" w:type="dxa"/>
            </w:tcMar>
          </w:tcPr>
          <w:p>
            <w:pPr>
              <w:pStyle w:val="TableText"/>
              <w:jc w:val="left"/>
            </w:pPr>
            <w:r>
              <w:rPr>
                <w:rFonts w:ascii="Calibri" w:hAnsi="Calibri"/>
                <w:b w:val="0"/>
                <w:sz w:val="18"/>
              </w:rPr>
              <w:t>Account/registrant transfer</w:t>
            </w:r>
          </w:p>
        </w:tc>
        <w:tc>
          <w:tcPr>
            <w:tcW w:type="dxa" w:w="988"/>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283"/>
            <w:vAlign w:val="top"/>
            <w:tcMar>
              <w:top w:w="80" w:type="dxa"/>
              <w:bottom w:w="80" w:type="dxa"/>
              <w:start w:w="120" w:type="dxa"/>
              <w:end w:w="120" w:type="dxa"/>
            </w:tcMar>
          </w:tcPr>
          <w:p>
            <w:pPr>
              <w:pStyle w:val="TableText"/>
              <w:jc w:val="left"/>
            </w:pPr>
            <w:r>
              <w:rPr>
                <w:rFonts w:ascii="Calibri" w:hAnsi="Calibri"/>
                <w:b w:val="0"/>
                <w:sz w:val="18"/>
              </w:rPr>
              <w:t>GitHub/npm/cloud subscriptions</w:t>
            </w:r>
          </w:p>
        </w:tc>
        <w:tc>
          <w:tcPr>
            <w:tcW w:type="dxa" w:w="197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4"/>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816"/>
            <w:vAlign w:val="top"/>
            <w:tcMar>
              <w:top w:w="80" w:type="dxa"/>
              <w:bottom w:w="80" w:type="dxa"/>
              <w:start w:w="120" w:type="dxa"/>
              <w:end w:w="120" w:type="dxa"/>
            </w:tcMar>
          </w:tcPr>
          <w:p>
            <w:pPr>
              <w:pStyle w:val="TableText"/>
              <w:jc w:val="left"/>
            </w:pPr>
            <w:r>
              <w:rPr>
                <w:rFonts w:ascii="Calibri" w:hAnsi="Calibri"/>
                <w:b w:val="0"/>
                <w:sz w:val="18"/>
              </w:rPr>
              <w:t>[ACTION]</w:t>
            </w:r>
          </w:p>
        </w:tc>
        <w:tc>
          <w:tcPr>
            <w:tcW w:type="dxa" w:w="988"/>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283"/>
            <w:vAlign w:val="top"/>
            <w:tcMar>
              <w:top w:w="80" w:type="dxa"/>
              <w:bottom w:w="80" w:type="dxa"/>
              <w:start w:w="120" w:type="dxa"/>
              <w:end w:w="120" w:type="dxa"/>
            </w:tcMar>
          </w:tcPr>
          <w:p>
            <w:pPr>
              <w:pStyle w:val="TableText"/>
              <w:jc w:val="left"/>
            </w:pPr>
            <w:r>
              <w:rPr>
                <w:rFonts w:ascii="Calibri" w:hAnsi="Calibri"/>
                <w:b w:val="0"/>
                <w:sz w:val="18"/>
              </w:rPr>
              <w:t>AI subscriptions/API credits</w:t>
            </w:r>
          </w:p>
        </w:tc>
        <w:tc>
          <w:tcPr>
            <w:tcW w:type="dxa" w:w="197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4"/>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816"/>
            <w:vAlign w:val="top"/>
            <w:tcMar>
              <w:top w:w="80" w:type="dxa"/>
              <w:bottom w:w="80" w:type="dxa"/>
              <w:start w:w="120" w:type="dxa"/>
              <w:end w:w="120" w:type="dxa"/>
            </w:tcMar>
          </w:tcPr>
          <w:p>
            <w:pPr>
              <w:pStyle w:val="TableText"/>
              <w:jc w:val="left"/>
            </w:pPr>
            <w:r>
              <w:rPr>
                <w:rFonts w:ascii="Calibri" w:hAnsi="Calibri"/>
                <w:b w:val="0"/>
                <w:sz w:val="18"/>
              </w:rPr>
              <w:t>Terms/account record</w:t>
            </w:r>
          </w:p>
        </w:tc>
        <w:tc>
          <w:tcPr>
            <w:tcW w:type="dxa" w:w="988"/>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283"/>
            <w:vAlign w:val="top"/>
            <w:tcMar>
              <w:top w:w="80" w:type="dxa"/>
              <w:bottom w:w="80" w:type="dxa"/>
              <w:start w:w="120" w:type="dxa"/>
              <w:end w:w="120" w:type="dxa"/>
            </w:tcMar>
          </w:tcPr>
          <w:p>
            <w:pPr>
              <w:pStyle w:val="TableText"/>
              <w:jc w:val="left"/>
            </w:pPr>
            <w:r>
              <w:rPr>
                <w:rFonts w:ascii="Calibri" w:hAnsi="Calibri"/>
                <w:b w:val="0"/>
                <w:sz w:val="18"/>
              </w:rPr>
              <w:t>Other equipment/services</w:t>
            </w:r>
          </w:p>
        </w:tc>
        <w:tc>
          <w:tcPr>
            <w:tcW w:type="dxa" w:w="1979"/>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1294"/>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816"/>
            <w:vAlign w:val="top"/>
            <w:tcMar>
              <w:top w:w="80" w:type="dxa"/>
              <w:bottom w:w="80" w:type="dxa"/>
              <w:start w:w="120" w:type="dxa"/>
              <w:end w:w="120" w:type="dxa"/>
            </w:tcMar>
          </w:tcPr>
          <w:p>
            <w:pPr>
              <w:pStyle w:val="TableText"/>
              <w:jc w:val="left"/>
            </w:pPr>
            <w:r>
              <w:rPr>
                <w:rFonts w:ascii="Calibri" w:hAnsi="Calibri"/>
                <w:b w:val="0"/>
                <w:sz w:val="18"/>
              </w:rPr>
              <w:t>[ACTION]</w:t>
            </w:r>
          </w:p>
        </w:tc>
        <w:tc>
          <w:tcPr>
            <w:tcW w:type="dxa" w:w="988"/>
            <w:vAlign w:val="top"/>
            <w:tcMar>
              <w:top w:w="80" w:type="dxa"/>
              <w:bottom w:w="80" w:type="dxa"/>
              <w:start w:w="120" w:type="dxa"/>
              <w:end w:w="120" w:type="dxa"/>
            </w:tcMar>
          </w:tcPr>
          <w:p>
            <w:pPr>
              <w:pStyle w:val="TableText"/>
              <w:jc w:val="left"/>
            </w:pPr>
            <w:r>
              <w:rPr>
                <w:rFonts w:ascii="Calibri" w:hAnsi="Calibri"/>
                <w:b w:val="0"/>
                <w:sz w:val="18"/>
              </w:rPr>
              <w:t>[CPA]</w:t>
            </w:r>
          </w:p>
        </w:tc>
      </w:tr>
    </w:tbl>
    <w:p>
      <w:pPr>
        <w:spacing w:after="40"/>
      </w:pPr>
    </w:p>
    <w:p>
      <w:pPr>
        <w:keepLines w:val="0"/>
        <w:widowControl/>
      </w:pPr>
      <w:r>
        <w:rPr>
          <w:rFonts w:ascii="Calibri" w:hAnsi="Calibri"/>
          <w:b w:val="0"/>
          <w:sz w:val="21"/>
        </w:rPr>
        <w:t>Payment alone does not establish copyright or account ownership. The transaction workbook and invoices supply amounts; family members supply intent only where records do not.</w:t>
      </w:r>
    </w:p>
    <w:p>
      <w:pPr>
        <w:pStyle w:val="Heading1"/>
        <w:pageBreakBefore/>
      </w:pPr>
      <w:r>
        <w:rPr>
          <w:rFonts w:ascii="Calibri" w:hAnsi="Calibri"/>
          <w:b/>
        </w:rPr>
        <w:t>Schedule 9-I - Excluded and disputed property</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051"/>
        <w:gridCol w:w="1157"/>
        <w:gridCol w:w="2051"/>
        <w:gridCol w:w="1262"/>
        <w:gridCol w:w="1525"/>
        <w:gridCol w:w="1314"/>
      </w:tblGrid>
      <w:tr>
        <w:trPr>
          <w:cantSplit w:val="true"/>
          <w:tblHeader w:val="true"/>
        </w:trPr>
        <w:tc>
          <w:tcPr>
            <w:tcW w:type="dxa" w:w="2051"/>
            <w:vAlign w:val="center"/>
            <w:shd w:fill="1F4D78"/>
            <w:tcMar>
              <w:top w:w="80" w:type="dxa"/>
              <w:bottom w:w="80" w:type="dxa"/>
              <w:start w:w="120" w:type="dxa"/>
              <w:end w:w="120" w:type="dxa"/>
            </w:tcMar>
          </w:tcPr>
          <w:p>
            <w:pPr>
              <w:pStyle w:val="TableText"/>
              <w:jc w:val="left"/>
            </w:pPr>
            <w:r>
              <w:rPr>
                <w:rFonts w:ascii="Calibri" w:hAnsi="Calibri"/>
                <w:b/>
                <w:color w:val="FFFFFF"/>
                <w:sz w:val="17"/>
              </w:rPr>
              <w:t>Item/right</w:t>
            </w:r>
          </w:p>
        </w:tc>
        <w:tc>
          <w:tcPr>
            <w:tcW w:type="dxa" w:w="1157"/>
            <w:vAlign w:val="center"/>
            <w:shd w:fill="1F4D78"/>
            <w:tcMar>
              <w:top w:w="80" w:type="dxa"/>
              <w:bottom w:w="80" w:type="dxa"/>
              <w:start w:w="120" w:type="dxa"/>
              <w:end w:w="120" w:type="dxa"/>
            </w:tcMar>
          </w:tcPr>
          <w:p>
            <w:pPr>
              <w:pStyle w:val="TableText"/>
              <w:jc w:val="left"/>
            </w:pPr>
            <w:r>
              <w:rPr>
                <w:rFonts w:ascii="Calibri" w:hAnsi="Calibri"/>
                <w:b/>
                <w:color w:val="FFFFFF"/>
                <w:sz w:val="17"/>
              </w:rPr>
              <w:t>Claimed owner/licensor</w:t>
            </w:r>
          </w:p>
        </w:tc>
        <w:tc>
          <w:tcPr>
            <w:tcW w:type="dxa" w:w="2051"/>
            <w:vAlign w:val="center"/>
            <w:shd w:fill="1F4D78"/>
            <w:tcMar>
              <w:top w:w="80" w:type="dxa"/>
              <w:bottom w:w="80" w:type="dxa"/>
              <w:start w:w="120" w:type="dxa"/>
              <w:end w:w="120" w:type="dxa"/>
            </w:tcMar>
          </w:tcPr>
          <w:p>
            <w:pPr>
              <w:pStyle w:val="TableText"/>
              <w:jc w:val="left"/>
            </w:pPr>
            <w:r>
              <w:rPr>
                <w:rFonts w:ascii="Calibri" w:hAnsi="Calibri"/>
                <w:b/>
                <w:color w:val="FFFFFF"/>
                <w:sz w:val="17"/>
              </w:rPr>
              <w:t>Reason excluded or disputed</w:t>
            </w:r>
          </w:p>
        </w:tc>
        <w:tc>
          <w:tcPr>
            <w:tcW w:type="dxa" w:w="1262"/>
            <w:vAlign w:val="center"/>
            <w:shd w:fill="1F4D78"/>
            <w:tcMar>
              <w:top w:w="80" w:type="dxa"/>
              <w:bottom w:w="80" w:type="dxa"/>
              <w:start w:w="120" w:type="dxa"/>
              <w:end w:w="120" w:type="dxa"/>
            </w:tcMar>
          </w:tcPr>
          <w:p>
            <w:pPr>
              <w:pStyle w:val="TableText"/>
              <w:jc w:val="left"/>
            </w:pPr>
            <w:r>
              <w:rPr>
                <w:rFonts w:ascii="Calibri" w:hAnsi="Calibri"/>
                <w:b/>
                <w:color w:val="FFFFFF"/>
                <w:sz w:val="17"/>
              </w:rPr>
              <w:t>Company operational need</w:t>
            </w:r>
          </w:p>
        </w:tc>
        <w:tc>
          <w:tcPr>
            <w:tcW w:type="dxa" w:w="1525"/>
            <w:vAlign w:val="center"/>
            <w:shd w:fill="1F4D78"/>
            <w:tcMar>
              <w:top w:w="80" w:type="dxa"/>
              <w:bottom w:w="80" w:type="dxa"/>
              <w:start w:w="120" w:type="dxa"/>
              <w:end w:w="120" w:type="dxa"/>
            </w:tcMar>
          </w:tcPr>
          <w:p>
            <w:pPr>
              <w:pStyle w:val="TableText"/>
              <w:jc w:val="left"/>
            </w:pPr>
            <w:r>
              <w:rPr>
                <w:rFonts w:ascii="Calibri" w:hAnsi="Calibri"/>
                <w:b/>
                <w:color w:val="FFFFFF"/>
                <w:sz w:val="17"/>
              </w:rPr>
              <w:t>Interim license/mitigation</w:t>
            </w:r>
          </w:p>
        </w:tc>
        <w:tc>
          <w:tcPr>
            <w:tcW w:type="dxa" w:w="1314"/>
            <w:vAlign w:val="center"/>
            <w:shd w:fill="1F4D78"/>
            <w:tcMar>
              <w:top w:w="80" w:type="dxa"/>
              <w:bottom w:w="80" w:type="dxa"/>
              <w:start w:w="120" w:type="dxa"/>
              <w:end w:w="120" w:type="dxa"/>
            </w:tcMar>
          </w:tcPr>
          <w:p>
            <w:pPr>
              <w:pStyle w:val="TableText"/>
              <w:jc w:val="left"/>
            </w:pPr>
            <w:r>
              <w:rPr>
                <w:rFonts w:ascii="Calibri" w:hAnsi="Calibri"/>
                <w:b/>
                <w:color w:val="FFFFFF"/>
                <w:sz w:val="17"/>
              </w:rPr>
              <w:t>Resolution owner/deadline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Third-party open-source code</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Respective authors</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Licensed, not assigned</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Dependency use</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Comply with license</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[OWNER/DATE]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Predecessor material not Liam-owned</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Title/terms unresolved</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[NEED]</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Clean replacement or license</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[OWNER/DATE]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GridWork right, if any</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[VERIFY]</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No invented assignment</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[NEED]</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Freeze/correct after review</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Counsel [DATE]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School/employer/client material, if any</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Contract/property claim</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[NEED]</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Remove/replace/obtain consent</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Counsel [DATE]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Unclear AI output</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Terms/similarity/human-authorship issue</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[NEED]</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Replace or document</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[OWNER/DATE]</w:t>
            </w:r>
          </w:p>
        </w:tc>
      </w:tr>
      <w:tr>
        <w:trPr>
          <w:cantSplit w:val="true"/>
        </w:trPr>
        <w:tc>
          <w:tcPr>
            <w:tcW w:type="dxa" w:w="2051"/>
            <w:vAlign w:val="top"/>
            <w:tcMar>
              <w:top w:w="80" w:type="dxa"/>
              <w:bottom w:w="80" w:type="dxa"/>
              <w:start w:w="120" w:type="dxa"/>
              <w:end w:w="120" w:type="dxa"/>
            </w:tcMar>
          </w:tcPr>
          <w:p>
            <w:pPr>
              <w:pStyle w:val="TableText"/>
              <w:jc w:val="left"/>
            </w:pPr>
            <w:r>
              <w:rPr>
                <w:rFonts w:ascii="Calibri" w:hAnsi="Calibri"/>
                <w:b w:val="0"/>
                <w:sz w:val="18"/>
              </w:rPr>
              <w:t>Account rights not transferable</w:t>
            </w:r>
          </w:p>
        </w:tc>
        <w:tc>
          <w:tcPr>
            <w:tcW w:type="dxa" w:w="1157"/>
            <w:vAlign w:val="top"/>
            <w:tcMar>
              <w:top w:w="80" w:type="dxa"/>
              <w:bottom w:w="80" w:type="dxa"/>
              <w:start w:w="120" w:type="dxa"/>
              <w:end w:w="120" w:type="dxa"/>
            </w:tcMar>
          </w:tcPr>
          <w:p>
            <w:pPr>
              <w:pStyle w:val="TableText"/>
              <w:jc w:val="left"/>
            </w:pPr>
            <w:r>
              <w:rPr>
                <w:rFonts w:ascii="Calibri" w:hAnsi="Calibri"/>
                <w:b w:val="0"/>
                <w:sz w:val="18"/>
              </w:rPr>
              <w:t>Platform</w:t>
            </w:r>
          </w:p>
        </w:tc>
        <w:tc>
          <w:tcPr>
            <w:tcW w:type="dxa" w:w="2051"/>
            <w:vAlign w:val="top"/>
            <w:tcMar>
              <w:top w:w="80" w:type="dxa"/>
              <w:bottom w:w="80" w:type="dxa"/>
              <w:start w:w="120" w:type="dxa"/>
              <w:end w:w="120" w:type="dxa"/>
            </w:tcMar>
          </w:tcPr>
          <w:p>
            <w:pPr>
              <w:pStyle w:val="TableText"/>
              <w:jc w:val="left"/>
            </w:pPr>
            <w:r>
              <w:rPr>
                <w:rFonts w:ascii="Calibri" w:hAnsi="Calibri"/>
                <w:b w:val="0"/>
                <w:sz w:val="18"/>
              </w:rPr>
              <w:t>Provider contract</w:t>
            </w:r>
          </w:p>
        </w:tc>
        <w:tc>
          <w:tcPr>
            <w:tcW w:type="dxa" w:w="1262"/>
            <w:vAlign w:val="top"/>
            <w:tcMar>
              <w:top w:w="80" w:type="dxa"/>
              <w:bottom w:w="80" w:type="dxa"/>
              <w:start w:w="120" w:type="dxa"/>
              <w:end w:w="120" w:type="dxa"/>
            </w:tcMar>
          </w:tcPr>
          <w:p>
            <w:pPr>
              <w:pStyle w:val="TableText"/>
              <w:jc w:val="left"/>
            </w:pPr>
            <w:r>
              <w:rPr>
                <w:rFonts w:ascii="Calibri" w:hAnsi="Calibri"/>
                <w:b w:val="0"/>
                <w:sz w:val="18"/>
              </w:rPr>
              <w:t>Operational access</w:t>
            </w:r>
          </w:p>
        </w:tc>
        <w:tc>
          <w:tcPr>
            <w:tcW w:type="dxa" w:w="1525"/>
            <w:vAlign w:val="top"/>
            <w:tcMar>
              <w:top w:w="80" w:type="dxa"/>
              <w:bottom w:w="80" w:type="dxa"/>
              <w:start w:w="120" w:type="dxa"/>
              <w:end w:w="120" w:type="dxa"/>
            </w:tcMar>
          </w:tcPr>
          <w:p>
            <w:pPr>
              <w:pStyle w:val="TableText"/>
              <w:jc w:val="left"/>
            </w:pPr>
            <w:r>
              <w:rPr>
                <w:rFonts w:ascii="Calibri" w:hAnsi="Calibri"/>
                <w:b w:val="0"/>
                <w:sz w:val="18"/>
              </w:rPr>
              <w:t>New Company account/role</w:t>
            </w:r>
          </w:p>
        </w:tc>
        <w:tc>
          <w:tcPr>
            <w:tcW w:type="dxa" w:w="1314"/>
            <w:vAlign w:val="top"/>
            <w:tcMar>
              <w:top w:w="80" w:type="dxa"/>
              <w:bottom w:w="80" w:type="dxa"/>
              <w:start w:w="120" w:type="dxa"/>
              <w:end w:w="120" w:type="dxa"/>
            </w:tcMar>
          </w:tcPr>
          <w:p>
            <w:pPr>
              <w:pStyle w:val="TableText"/>
              <w:jc w:val="left"/>
            </w:pPr>
            <w:r>
              <w:rPr>
                <w:rFonts w:ascii="Calibri" w:hAnsi="Calibri"/>
                <w:b w:val="0"/>
                <w:sz w:val="18"/>
              </w:rPr>
              <w:t>[OWNER/DATE]</w:t>
            </w:r>
          </w:p>
        </w:tc>
      </w:tr>
    </w:tbl>
    <w:p>
      <w:pPr>
        <w:spacing w:after="40"/>
      </w:pPr>
    </w:p>
    <w:p>
      <w:pPr>
        <w:pStyle w:val="Heading1"/>
        <w:pageBreakBefore/>
      </w:pPr>
      <w:r>
        <w:rPr>
          <w:rFonts w:ascii="Calibri" w:hAnsi="Calibri"/>
          <w:b/>
        </w:rPr>
        <w:t>Schedule 9-J - Adult confirmation completion record</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300"/>
        <w:gridCol w:w="2500"/>
        <w:gridCol w:w="2760"/>
        <w:gridCol w:w="2800"/>
      </w:tblGrid>
      <w:tr>
        <w:trPr>
          <w:cantSplit w:val="true"/>
          <w:tblHeader w:val="true"/>
        </w:trPr>
        <w:tc>
          <w:tcPr>
            <w:tcW w:type="dxa" w:w="1300"/>
            <w:vAlign w:val="center"/>
            <w:shd w:fill="1F4D78"/>
            <w:tcMar>
              <w:top w:w="80" w:type="dxa"/>
              <w:bottom w:w="80" w:type="dxa"/>
              <w:start w:w="120" w:type="dxa"/>
              <w:end w:w="120" w:type="dxa"/>
            </w:tcMar>
          </w:tcPr>
          <w:p>
            <w:pPr>
              <w:pStyle w:val="TableText"/>
              <w:jc w:val="left"/>
            </w:pPr>
            <w:r>
              <w:rPr>
                <w:rFonts w:ascii="Calibri" w:hAnsi="Calibri"/>
                <w:b/>
                <w:color w:val="FFFFFF"/>
                <w:sz w:val="17"/>
              </w:rPr>
              <w:t>Requirement</w:t>
            </w:r>
          </w:p>
        </w:tc>
        <w:tc>
          <w:tcPr>
            <w:tcW w:type="dxa" w:w="2500"/>
            <w:vAlign w:val="center"/>
            <w:shd w:fill="1F4D78"/>
            <w:tcMar>
              <w:top w:w="80" w:type="dxa"/>
              <w:bottom w:w="80" w:type="dxa"/>
              <w:start w:w="120" w:type="dxa"/>
              <w:end w:w="120" w:type="dxa"/>
            </w:tcMar>
          </w:tcPr>
          <w:p>
            <w:pPr>
              <w:pStyle w:val="TableText"/>
              <w:jc w:val="left"/>
            </w:pPr>
            <w:r>
              <w:rPr>
                <w:rFonts w:ascii="Calibri" w:hAnsi="Calibri"/>
                <w:b/>
                <w:color w:val="FFFFFF"/>
                <w:sz w:val="17"/>
              </w:rPr>
              <w:t>Evidence</w:t>
            </w:r>
          </w:p>
        </w:tc>
        <w:tc>
          <w:tcPr>
            <w:tcW w:type="dxa" w:w="2760"/>
            <w:vAlign w:val="center"/>
            <w:shd w:fill="1F4D78"/>
            <w:tcMar>
              <w:top w:w="80" w:type="dxa"/>
              <w:bottom w:w="80" w:type="dxa"/>
              <w:start w:w="120" w:type="dxa"/>
              <w:end w:w="120" w:type="dxa"/>
            </w:tcMar>
          </w:tcPr>
          <w:p>
            <w:pPr>
              <w:pStyle w:val="TableText"/>
              <w:jc w:val="left"/>
            </w:pPr>
            <w:r>
              <w:rPr>
                <w:rFonts w:ascii="Calibri" w:hAnsi="Calibri"/>
                <w:b/>
                <w:color w:val="FFFFFF"/>
                <w:sz w:val="17"/>
              </w:rPr>
              <w:t>Reviewer</w:t>
            </w:r>
          </w:p>
        </w:tc>
        <w:tc>
          <w:tcPr>
            <w:tcW w:type="dxa" w:w="2800"/>
            <w:vAlign w:val="center"/>
            <w:shd w:fill="1F4D78"/>
            <w:tcMar>
              <w:top w:w="80" w:type="dxa"/>
              <w:bottom w:w="80" w:type="dxa"/>
              <w:start w:w="120" w:type="dxa"/>
              <w:end w:w="120" w:type="dxa"/>
            </w:tcMar>
          </w:tcPr>
          <w:p>
            <w:pPr>
              <w:pStyle w:val="TableText"/>
              <w:jc w:val="left"/>
            </w:pPr>
            <w:r>
              <w:rPr>
                <w:rFonts w:ascii="Calibri" w:hAnsi="Calibri"/>
                <w:b/>
                <w:color w:val="FFFFFF"/>
                <w:sz w:val="17"/>
              </w:rPr>
              <w:t>Completion 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Counsel-confirmed majority date</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[MEMO]</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Independent advice to Liam</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[ENGAGEMENT/CERTIFICATE]</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[INDEPENDENT 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Final consideration paid/delivered</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[RECORD]</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[CPA/COUNSEL]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Updated asset/provenance schedules</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[HASHED EXHIBITS]</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[TECH/COUNSEL]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Adult confirmation signed</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[FINAL INSTRUMENT]</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Copyright/patent recordation decision</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[MEMO/RECORD]</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[IP 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Stale notice correction completed</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[COMMIT/RELEASE/SITE SNAPSHOT]</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[COUNSEL/TECH]</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r>
        <w:trPr>
          <w:cantSplit w:val="true"/>
        </w:trPr>
        <w:tc>
          <w:tcPr>
            <w:tcW w:type="dxa" w:w="1300"/>
            <w:vAlign w:val="top"/>
            <w:tcMar>
              <w:top w:w="80" w:type="dxa"/>
              <w:bottom w:w="80" w:type="dxa"/>
              <w:start w:w="120" w:type="dxa"/>
              <w:end w:w="120" w:type="dxa"/>
            </w:tcMar>
          </w:tcPr>
          <w:p>
            <w:pPr>
              <w:pStyle w:val="TableText"/>
              <w:jc w:val="left"/>
            </w:pPr>
            <w:r>
              <w:rPr>
                <w:rFonts w:ascii="Calibri" w:hAnsi="Calibri"/>
                <w:b w:val="0"/>
                <w:sz w:val="18"/>
              </w:rPr>
              <w:t>Public-release gate status</w:t>
            </w:r>
          </w:p>
        </w:tc>
        <w:tc>
          <w:tcPr>
            <w:tcW w:type="dxa" w:w="2500"/>
            <w:vAlign w:val="top"/>
            <w:tcMar>
              <w:top w:w="80" w:type="dxa"/>
              <w:bottom w:w="80" w:type="dxa"/>
              <w:start w:w="120" w:type="dxa"/>
              <w:end w:w="120" w:type="dxa"/>
            </w:tcMar>
          </w:tcPr>
          <w:p>
            <w:pPr>
              <w:pStyle w:val="TableText"/>
              <w:jc w:val="left"/>
            </w:pPr>
            <w:r>
              <w:rPr>
                <w:rFonts w:ascii="Calibri" w:hAnsi="Calibri"/>
                <w:b w:val="0"/>
                <w:sz w:val="18"/>
              </w:rPr>
              <w:t>[CERTIFICATE]</w:t>
            </w:r>
          </w:p>
        </w:tc>
        <w:tc>
          <w:tcPr>
            <w:tcW w:type="dxa" w:w="2760"/>
            <w:vAlign w:val="top"/>
            <w:tcMar>
              <w:top w:w="80" w:type="dxa"/>
              <w:bottom w:w="80" w:type="dxa"/>
              <w:start w:w="120" w:type="dxa"/>
              <w:end w:w="120" w:type="dxa"/>
            </w:tcMar>
          </w:tcPr>
          <w:p>
            <w:pPr>
              <w:pStyle w:val="TableText"/>
              <w:jc w:val="left"/>
            </w:pPr>
            <w:r>
              <w:rPr>
                <w:rFonts w:ascii="Calibri" w:hAnsi="Calibri"/>
                <w:b w:val="0"/>
                <w:sz w:val="18"/>
              </w:rPr>
              <w:t>[MANAGER/COUNSEL]</w:t>
            </w:r>
          </w:p>
        </w:tc>
        <w:tc>
          <w:tcPr>
            <w:tcW w:type="dxa" w:w="2800"/>
            <w:vAlign w:val="top"/>
            <w:tcMar>
              <w:top w:w="80" w:type="dxa"/>
              <w:bottom w:w="80" w:type="dxa"/>
              <w:start w:w="120" w:type="dxa"/>
              <w:end w:w="120" w:type="dxa"/>
            </w:tcMar>
          </w:tcPr>
          <w:p>
            <w:pPr>
              <w:pStyle w:val="TableText"/>
              <w:jc w:val="left"/>
            </w:pPr>
            <w:r>
              <w:rPr>
                <w:rFonts w:ascii="Calibri" w:hAnsi="Calibri"/>
                <w:b w:val="0"/>
                <w:sz w:val="18"/>
              </w:rPr>
              <w:t>[DATE]</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must decide the valid present instrument, independent/court process, consideration, schedules, recordation, parent joinder, and future adult confirmation.</w:t>
      </w:r>
    </w:p>
    <w:p>
      <w:pPr>
        <w:pStyle w:val="Heading1"/>
        <w:pageBreakBefore/>
      </w:pPr>
      <w:r>
        <w:rPr>
          <w:rFonts w:ascii="Calibri" w:hAnsi="Calibri"/>
          <w:b/>
        </w:rPr>
        <w:t>Instrument 10 - Employment, Confidentiality, Invention Assignment, Work-Made-for-Hire, and Parental Consent Agreement</w:t>
      </w:r>
    </w:p>
    <w:p>
      <w:pPr>
        <w:spacing w:before="80" w:after="160" w:line="259" w:lineRule="auto"/>
        <w:ind w:left="202" w:right="115"/>
        <w:shd w:fill="FFF5DA"/>
        <w:pBdr>
          <w:left w:val="single" w:sz="18" w:space="6" w:color="A66F00"/>
        </w:pBdr>
      </w:pPr>
      <w:r>
        <w:rPr>
          <w:rFonts w:ascii="Calibri" w:hAnsi="Calibri"/>
          <w:b/>
          <w:sz w:val="19"/>
        </w:rPr>
        <w:t>ATTORNEY WORKING DRAFT - NOT SIGNATURE-READY - DO NOT EXECUTE</w:t>
      </w:r>
    </w:p>
    <w:p>
      <w:pPr>
        <w:pStyle w:val="Heading1"/>
        <w:pageBreakBefore w:val="0"/>
      </w:pPr>
      <w:r>
        <w:rPr>
          <w:rFonts w:ascii="Calibri" w:hAnsi="Calibri"/>
          <w:b/>
        </w:rPr>
        <w:t>Part A - Employment relationship</w:t>
      </w:r>
    </w:p>
    <w:p>
      <w:pPr>
        <w:pStyle w:val="Heading2"/>
        <w:pageBreakBefore w:val="0"/>
      </w:pPr>
      <w:r>
        <w:rPr>
          <w:rFonts w:ascii="Calibri" w:hAnsi="Calibri"/>
          <w:b/>
        </w:rPr>
        <w:t>1. Parties and effective date</w:t>
      </w:r>
    </w:p>
    <w:p>
      <w:pPr>
        <w:widowControl/>
        <w:numPr>
          <w:ilvl w:val="0"/>
          <w:numId w:val="65"/>
        </w:numPr>
      </w:pPr>
      <w:r>
        <w:rPr>
          <w:rFonts w:ascii="Calibri" w:hAnsi="Calibri"/>
          <w:b/>
          <w:sz w:val="20"/>
        </w:rPr>
        <w:t>Employer:</w:t>
      </w:r>
      <w:r>
        <w:rPr>
          <w:rFonts w:ascii="Calibri" w:hAnsi="Calibri"/>
          <w:b w:val="0"/>
          <w:sz w:val="20"/>
        </w:rPr>
        <w:t xml:space="preserve"> Caisson Software LLC.</w:t>
      </w:r>
    </w:p>
    <w:p>
      <w:pPr>
        <w:widowControl/>
        <w:numPr>
          <w:ilvl w:val="0"/>
          <w:numId w:val="65"/>
        </w:numPr>
      </w:pPr>
      <w:r>
        <w:rPr>
          <w:rFonts w:ascii="Calibri" w:hAnsi="Calibri"/>
          <w:b/>
          <w:sz w:val="20"/>
        </w:rPr>
        <w:t>Employee:</w:t>
      </w:r>
      <w:r>
        <w:rPr>
          <w:rFonts w:ascii="Calibri" w:hAnsi="Calibri"/>
          <w:b w:val="0"/>
          <w:sz w:val="20"/>
        </w:rPr>
        <w:t xml:space="preserve"> Liam Thadani.</w:t>
      </w:r>
    </w:p>
    <w:p>
      <w:pPr>
        <w:widowControl/>
        <w:numPr>
          <w:ilvl w:val="0"/>
          <w:numId w:val="65"/>
        </w:numPr>
      </w:pPr>
      <w:r>
        <w:rPr>
          <w:rFonts w:ascii="Calibri" w:hAnsi="Calibri"/>
          <w:b/>
          <w:sz w:val="20"/>
        </w:rPr>
        <w:t>Manager/supervisor:</w:t>
      </w:r>
      <w:r>
        <w:rPr>
          <w:rFonts w:ascii="Calibri" w:hAnsi="Calibri"/>
          <w:b w:val="0"/>
          <w:sz w:val="20"/>
        </w:rPr>
        <w:t xml:space="preserve"> Lakshmi Delbel, Company manager.</w:t>
      </w:r>
    </w:p>
    <w:p>
      <w:pPr>
        <w:widowControl/>
        <w:numPr>
          <w:ilvl w:val="0"/>
          <w:numId w:val="65"/>
        </w:numPr>
      </w:pPr>
      <w:r>
        <w:rPr>
          <w:rFonts w:ascii="Calibri" w:hAnsi="Calibri"/>
          <w:b/>
          <w:sz w:val="20"/>
        </w:rPr>
        <w:t>Effective date:</w:t>
      </w:r>
      <w:r>
        <w:rPr>
          <w:rFonts w:ascii="Calibri" w:hAnsi="Calibri"/>
          <w:b w:val="0"/>
          <w:sz w:val="20"/>
        </w:rPr>
        <w:t xml:space="preserve"> [COUNSEL/CPA: date after required approvals and payroll setup].</w:t>
      </w:r>
    </w:p>
    <w:p>
      <w:pPr>
        <w:keepLines w:val="0"/>
        <w:widowControl/>
      </w:pPr>
      <w:r>
        <w:rPr>
          <w:rFonts w:ascii="Calibri" w:hAnsi="Calibri"/>
          <w:b w:val="0"/>
          <w:sz w:val="21"/>
        </w:rPr>
        <w:t>Execution and effectiveness are conditioned on counsel confirming Liam's contractual capacity, the parental or custody authority required for employment decisions, and any independent-representation or court process required because Liam is a minor and Lakshmi holds overlapping parent, trustee, and manager roles.</w:t>
      </w:r>
    </w:p>
    <w:p>
      <w:pPr>
        <w:keepLines w:val="0"/>
        <w:widowControl/>
      </w:pPr>
      <w:r>
        <w:rPr>
          <w:rFonts w:ascii="Calibri" w:hAnsi="Calibri"/>
          <w:b w:val="0"/>
          <w:sz w:val="21"/>
        </w:rPr>
        <w:t>The parties shall not backdate this agreement. Historical work through the cutoff in Instrument 9 remains historical work even if the same tasks continue after employment begins.</w:t>
      </w:r>
    </w:p>
    <w:p>
      <w:pPr>
        <w:pStyle w:val="Heading2"/>
        <w:pageBreakBefore w:val="0"/>
      </w:pPr>
      <w:r>
        <w:rPr>
          <w:rFonts w:ascii="Calibri" w:hAnsi="Calibri"/>
          <w:b/>
        </w:rPr>
        <w:t>2. Position</w:t>
      </w:r>
    </w:p>
    <w:p>
      <w:pPr>
        <w:keepLines w:val="0"/>
        <w:widowControl/>
      </w:pPr>
      <w:r>
        <w:rPr>
          <w:rFonts w:ascii="Calibri" w:hAnsi="Calibri"/>
          <w:b w:val="0"/>
          <w:sz w:val="21"/>
        </w:rPr>
        <w:t xml:space="preserve">The Company employs Liam as </w:t>
      </w:r>
      <w:r>
        <w:rPr>
          <w:rFonts w:ascii="Calibri" w:hAnsi="Calibri"/>
          <w:b/>
          <w:sz w:val="21"/>
        </w:rPr>
        <w:t>Founder and Product Lead (non-manager employee and limited agent)</w:t>
      </w:r>
      <w:r>
        <w:rPr>
          <w:rFonts w:ascii="Calibri" w:hAnsi="Calibri"/>
          <w:b w:val="0"/>
          <w:sz w:val="21"/>
        </w:rPr>
        <w:t>. The title recognizes his operational role but does not make him a member, manager, adult signatory, bank owner, platform owner, or person with authority beyond Instrument 6.</w:t>
      </w:r>
    </w:p>
    <w:p>
      <w:pPr>
        <w:pStyle w:val="Heading2"/>
        <w:pageBreakBefore w:val="0"/>
      </w:pPr>
      <w:r>
        <w:rPr>
          <w:rFonts w:ascii="Calibri" w:hAnsi="Calibri"/>
          <w:b/>
        </w:rPr>
        <w:t>3. At-will status</w:t>
      </w:r>
    </w:p>
    <w:p>
      <w:pPr>
        <w:keepLines w:val="0"/>
        <w:widowControl/>
      </w:pPr>
      <w:r>
        <w:rPr>
          <w:rFonts w:ascii="Calibri" w:hAnsi="Calibri"/>
          <w:b w:val="0"/>
          <w:sz w:val="21"/>
        </w:rPr>
        <w:t>Employment is at will to the extent Georgia law permits. Liam or the Company may end employment at any time, with or without cause or advance notice, subject to wage-payment, anti-retaliation, and other applicable law. Only a final written agreement signed by the Company manager after member approval [COUNSEL: if required] may change at-will status.</w:t>
      </w:r>
    </w:p>
    <w:p>
      <w:pPr>
        <w:keepLines w:val="0"/>
        <w:widowControl/>
      </w:pPr>
      <w:r>
        <w:rPr>
          <w:rFonts w:ascii="Calibri" w:hAnsi="Calibri"/>
          <w:b w:val="0"/>
          <w:sz w:val="21"/>
        </w:rPr>
        <w:t>Ending employment does not revoke, redirect, enlarge, or reduce Liam's Trust beneficial interest or the fixed Handoff Time. Trust rights are intended to arise from the separate ownership transfer, not from Liam's services. Counsel and the CPA must nevertheless test the actual facts under applicable compensation and property-transfer rules; no recital controls if the Trust interest is in substance transferred for services.</w:t>
      </w:r>
    </w:p>
    <w:p>
      <w:pPr>
        <w:pStyle w:val="Heading2"/>
        <w:pageBreakBefore w:val="0"/>
      </w:pPr>
      <w:r>
        <w:rPr>
          <w:rFonts w:ascii="Calibri" w:hAnsi="Calibri"/>
          <w:b/>
        </w:rPr>
        <w:t>4. Duties</w:t>
      </w:r>
    </w:p>
    <w:p>
      <w:pPr>
        <w:keepLines w:val="0"/>
        <w:widowControl/>
      </w:pPr>
      <w:r>
        <w:rPr>
          <w:rFonts w:ascii="Calibri" w:hAnsi="Calibri"/>
          <w:b w:val="0"/>
          <w:sz w:val="21"/>
        </w:rPr>
        <w:t>Liam's duties include the work described on Schedule 10-A and other lawful, nonhazardous tasks reasonably assigned by the manager. Core duties are expected to include product strategy, software architecture, coding, testing, documentation, security, release operations, technical vendor work, support, and maintenance of provenance and account records.</w:t>
      </w:r>
    </w:p>
    <w:p>
      <w:pPr>
        <w:pStyle w:val="Heading2"/>
        <w:pageBreakBefore w:val="0"/>
      </w:pPr>
      <w:r>
        <w:rPr>
          <w:rFonts w:ascii="Calibri" w:hAnsi="Calibri"/>
          <w:b/>
        </w:rPr>
        <w:t>5. Direction and control</w:t>
      </w:r>
    </w:p>
    <w:p>
      <w:pPr>
        <w:keepLines w:val="0"/>
        <w:widowControl/>
      </w:pPr>
      <w:r>
        <w:rPr>
          <w:rFonts w:ascii="Calibri" w:hAnsi="Calibri"/>
          <w:b w:val="0"/>
          <w:sz w:val="21"/>
        </w:rPr>
        <w:t>To support a bona fide employment relationship and clear scope of employment:</w:t>
      </w:r>
    </w:p>
    <w:p>
      <w:pPr>
        <w:widowControl/>
        <w:numPr>
          <w:ilvl w:val="0"/>
          <w:numId w:val="66"/>
        </w:numPr>
      </w:pPr>
      <w:r>
        <w:rPr>
          <w:rFonts w:ascii="Calibri" w:hAnsi="Calibri"/>
          <w:b w:val="0"/>
          <w:sz w:val="20"/>
        </w:rPr>
        <w:t>the manager sets business priorities, budget, release gates, authority limits, and policies;</w:t>
      </w:r>
    </w:p>
    <w:p>
      <w:pPr>
        <w:widowControl/>
        <w:numPr>
          <w:ilvl w:val="0"/>
          <w:numId w:val="66"/>
        </w:numPr>
      </w:pPr>
      <w:r>
        <w:rPr>
          <w:rFonts w:ascii="Calibri" w:hAnsi="Calibri"/>
          <w:b w:val="0"/>
          <w:sz w:val="20"/>
        </w:rPr>
        <w:t>the manager may assign or reject projects and require correction;</w:t>
      </w:r>
    </w:p>
    <w:p>
      <w:pPr>
        <w:widowControl/>
        <w:numPr>
          <w:ilvl w:val="0"/>
          <w:numId w:val="66"/>
        </w:numPr>
      </w:pPr>
      <w:r>
        <w:rPr>
          <w:rFonts w:ascii="Calibri" w:hAnsi="Calibri"/>
          <w:b w:val="0"/>
          <w:sz w:val="20"/>
        </w:rPr>
        <w:t>the Company determines which repositories, accounts, tools, environments, and records are used;</w:t>
      </w:r>
    </w:p>
    <w:p>
      <w:pPr>
        <w:widowControl/>
        <w:numPr>
          <w:ilvl w:val="0"/>
          <w:numId w:val="66"/>
        </w:numPr>
      </w:pPr>
      <w:r>
        <w:rPr>
          <w:rFonts w:ascii="Calibri" w:hAnsi="Calibri"/>
          <w:b w:val="0"/>
          <w:sz w:val="20"/>
        </w:rPr>
        <w:t>Liam reports work and time contemporaneously;</w:t>
      </w:r>
    </w:p>
    <w:p>
      <w:pPr>
        <w:widowControl/>
        <w:numPr>
          <w:ilvl w:val="0"/>
          <w:numId w:val="66"/>
        </w:numPr>
      </w:pPr>
      <w:r>
        <w:rPr>
          <w:rFonts w:ascii="Calibri" w:hAnsi="Calibri"/>
          <w:b w:val="0"/>
          <w:sz w:val="20"/>
        </w:rPr>
        <w:t>the Company retains the right to review, test, approve, deploy, withhold, modify, or abandon work; and</w:t>
      </w:r>
    </w:p>
    <w:p>
      <w:pPr>
        <w:widowControl/>
        <w:numPr>
          <w:ilvl w:val="0"/>
          <w:numId w:val="66"/>
        </w:numPr>
      </w:pPr>
      <w:r>
        <w:rPr>
          <w:rFonts w:ascii="Calibri" w:hAnsi="Calibri"/>
          <w:b w:val="0"/>
          <w:sz w:val="20"/>
        </w:rPr>
        <w:t>Liam is subject to Company security, confidentiality, open-source, AI-use, record-retention, and acceptable-use rules.</w:t>
      </w:r>
    </w:p>
    <w:p>
      <w:pPr>
        <w:keepLines w:val="0"/>
        <w:widowControl/>
      </w:pPr>
      <w:r>
        <w:rPr>
          <w:rFonts w:ascii="Calibri" w:hAnsi="Calibri"/>
          <w:b w:val="0"/>
          <w:sz w:val="21"/>
        </w:rPr>
        <w:t>Nothing requires constant technical micromanagement or prevents Liam from exercising professional judgment within assigned work.</w:t>
      </w:r>
    </w:p>
    <w:p>
      <w:pPr>
        <w:pStyle w:val="Heading2"/>
        <w:pageBreakBefore w:val="0"/>
      </w:pPr>
      <w:r>
        <w:rPr>
          <w:rFonts w:ascii="Calibri" w:hAnsi="Calibri"/>
          <w:b/>
        </w:rPr>
        <w:t>6. Work location and schedule</w:t>
      </w:r>
    </w:p>
    <w:p>
      <w:pPr>
        <w:keepLines w:val="0"/>
        <w:widowControl/>
      </w:pPr>
      <w:r>
        <w:rPr>
          <w:rFonts w:ascii="Calibri" w:hAnsi="Calibri"/>
          <w:b w:val="0"/>
          <w:sz w:val="21"/>
        </w:rPr>
        <w:t>Primary work location: [COUNSEL/FAMILY: home/office address or remote description]. Work may also occur at approved locations using approved networks and devices.</w:t>
      </w:r>
    </w:p>
    <w:p>
      <w:pPr>
        <w:keepLines w:val="0"/>
        <w:widowControl/>
      </w:pPr>
      <w:r>
        <w:rPr>
          <w:rFonts w:ascii="Calibri" w:hAnsi="Calibri"/>
          <w:b w:val="0"/>
          <w:sz w:val="21"/>
        </w:rPr>
        <w:t>Liam shall not perform Company work during required school attendance, in violation of school obligations, or in a prohibited youth occupation. Work shall be compatible with health, education, and applicable law. No agreement requires driving on a public road, construction, roofing, excavation, warehousing equipment, power-driven machinery, exposure to explosives or radiation, or other hazardous work.</w:t>
      </w:r>
    </w:p>
    <w:p>
      <w:pPr>
        <w:keepLines w:val="0"/>
        <w:widowControl/>
      </w:pPr>
      <w:r>
        <w:rPr>
          <w:rFonts w:ascii="Calibri" w:hAnsi="Calibri"/>
          <w:b w:val="0"/>
          <w:sz w:val="21"/>
        </w:rPr>
        <w:t>Schedule and expected hours: [COUNSEL/CPA/FAMILY: ordinary school-week and vacation schedule]. Actual hours, not estimates alone, control payroll.</w:t>
      </w:r>
    </w:p>
    <w:p>
      <w:pPr>
        <w:pStyle w:val="Heading2"/>
        <w:pageBreakBefore w:val="0"/>
      </w:pPr>
      <w:r>
        <w:rPr>
          <w:rFonts w:ascii="Calibri" w:hAnsi="Calibri"/>
          <w:b/>
        </w:rPr>
        <w:t>7. Compliance with youth-employment law</w:t>
      </w:r>
    </w:p>
    <w:p>
      <w:pPr>
        <w:keepLines w:val="0"/>
        <w:widowControl/>
      </w:pPr>
      <w:r>
        <w:rPr>
          <w:rFonts w:ascii="Calibri" w:hAnsi="Calibri"/>
          <w:b w:val="0"/>
          <w:sz w:val="21"/>
        </w:rPr>
        <w:t>The Company shall comply with federal and Georgia youth-employment, wage, recordkeeping, safety, school, and insurance rules. Trust ownership does not itself resolve the federal family-employment exceptions. Counsel and the CPA must determine the actual federal tax owner and employer after closing and whether any exception survives or disappears under the final disregarded-entity, non-grantor-trust, or elected-corporation treatment. No general statement that 16- and 17-year-olds may work unrestricted hours waives hazardous-occupation, wage, school, insurance, or platform rules.</w:t>
      </w:r>
    </w:p>
    <w:p>
      <w:pPr>
        <w:pStyle w:val="Heading1"/>
        <w:pageBreakBefore w:val="0"/>
      </w:pPr>
      <w:r>
        <w:rPr>
          <w:rFonts w:ascii="Calibri" w:hAnsi="Calibri"/>
          <w:b/>
        </w:rPr>
        <w:t>Part B - Compensation, payroll, and expenses</w:t>
      </w:r>
    </w:p>
    <w:p>
      <w:pPr>
        <w:pStyle w:val="Heading2"/>
        <w:pageBreakBefore w:val="0"/>
      </w:pPr>
      <w:r>
        <w:rPr>
          <w:rFonts w:ascii="Calibri" w:hAnsi="Calibri"/>
          <w:b/>
        </w:rPr>
        <w:t>8. Nonexempt hourly status</w:t>
      </w:r>
    </w:p>
    <w:p>
      <w:pPr>
        <w:keepLines w:val="0"/>
        <w:widowControl/>
      </w:pPr>
      <w:r>
        <w:rPr>
          <w:rFonts w:ascii="Calibri" w:hAnsi="Calibri"/>
          <w:b w:val="0"/>
          <w:sz w:val="21"/>
        </w:rPr>
        <w:t xml:space="preserve">Liam shall be treated as a nonexempt hourly employee paid </w:t>
      </w:r>
      <w:r>
        <w:rPr>
          <w:rFonts w:ascii="Calibri" w:hAnsi="Calibri"/>
          <w:b/>
          <w:sz w:val="21"/>
        </w:rPr>
        <w:t>$[CPA/FAMILY] per hour</w:t>
      </w:r>
      <w:r>
        <w:rPr>
          <w:rFonts w:ascii="Calibri" w:hAnsi="Calibri"/>
          <w:b w:val="0"/>
          <w:sz w:val="21"/>
        </w:rPr>
        <w:t>, at least the applicable minimum wage, on a [weekly/biweekly] payroll unless the final duties, compensation method, and governing law independently satisfy every requirement for another classification and counsel documents that conclusion. [COUNSEL/CPA: confirm FLSA enterprise/individual coverage, Georgia requirements, and whether a higher local or contract rate applies.]</w:t>
      </w:r>
    </w:p>
    <w:p>
      <w:pPr>
        <w:pStyle w:val="Heading2"/>
        <w:pageBreakBefore w:val="0"/>
      </w:pPr>
      <w:r>
        <w:rPr>
          <w:rFonts w:ascii="Calibri" w:hAnsi="Calibri"/>
          <w:b/>
        </w:rPr>
        <w:t>9. Time records</w:t>
      </w:r>
    </w:p>
    <w:p>
      <w:pPr>
        <w:keepLines w:val="0"/>
        <w:widowControl/>
      </w:pPr>
      <w:r>
        <w:rPr>
          <w:rFonts w:ascii="Calibri" w:hAnsi="Calibri"/>
          <w:b w:val="0"/>
          <w:sz w:val="21"/>
        </w:rPr>
        <w:t>Liam shall record all working time contemporaneously by date, start/stop time or total time, project/task, and work location. Coding, meetings, research, documentation, deployments, support, required training, and after-hours incident response count as work when legally compensable.</w:t>
      </w:r>
    </w:p>
    <w:p>
      <w:pPr>
        <w:keepLines w:val="0"/>
        <w:widowControl/>
      </w:pPr>
      <w:r>
        <w:rPr>
          <w:rFonts w:ascii="Calibri" w:hAnsi="Calibri"/>
          <w:b w:val="0"/>
          <w:sz w:val="21"/>
        </w:rPr>
        <w:t>Off-the-clock work is prohibited. Overtime requires advance approval, but the Company will pay all overtime it knows or should know was worked and may address a policy violation separately. No fabricated or reconstructed hours may be entered as contemporaneous time; any historical reconstruction must be labeled and advisor-reviewed.</w:t>
      </w:r>
    </w:p>
    <w:p>
      <w:pPr>
        <w:pStyle w:val="Heading2"/>
        <w:pageBreakBefore w:val="0"/>
      </w:pPr>
      <w:r>
        <w:rPr>
          <w:rFonts w:ascii="Calibri" w:hAnsi="Calibri"/>
          <w:b/>
        </w:rPr>
        <w:t>10. Payroll and forms</w:t>
      </w:r>
    </w:p>
    <w:p>
      <w:pPr>
        <w:keepLines w:val="0"/>
        <w:widowControl/>
      </w:pPr>
      <w:r>
        <w:rPr>
          <w:rFonts w:ascii="Calibri" w:hAnsi="Calibri"/>
          <w:b w:val="0"/>
          <w:sz w:val="21"/>
        </w:rPr>
        <w:t>Before the first work period, the Company and CPA shall complete:</w:t>
      </w:r>
    </w:p>
    <w:p>
      <w:pPr>
        <w:widowControl/>
        <w:numPr>
          <w:ilvl w:val="0"/>
          <w:numId w:val="67"/>
        </w:numPr>
      </w:pPr>
      <w:r>
        <w:rPr>
          <w:rFonts w:ascii="Calibri" w:hAnsi="Calibri"/>
          <w:b w:val="0"/>
          <w:sz w:val="20"/>
        </w:rPr>
        <w:t>Form I-9 and required identity/employment-authorization review;</w:t>
      </w:r>
    </w:p>
    <w:p>
      <w:pPr>
        <w:widowControl/>
        <w:numPr>
          <w:ilvl w:val="0"/>
          <w:numId w:val="67"/>
        </w:numPr>
      </w:pPr>
      <w:r>
        <w:rPr>
          <w:rFonts w:ascii="Calibri" w:hAnsi="Calibri"/>
          <w:b w:val="0"/>
          <w:sz w:val="20"/>
        </w:rPr>
        <w:t>Form W-4 and Georgia Form G-4;</w:t>
      </w:r>
    </w:p>
    <w:p>
      <w:pPr>
        <w:widowControl/>
        <w:numPr>
          <w:ilvl w:val="0"/>
          <w:numId w:val="67"/>
        </w:numPr>
      </w:pPr>
      <w:r>
        <w:rPr>
          <w:rFonts w:ascii="Calibri" w:hAnsi="Calibri"/>
          <w:b w:val="0"/>
          <w:sz w:val="20"/>
        </w:rPr>
        <w:t>Georgia new-hire reporting;</w:t>
      </w:r>
    </w:p>
    <w:p>
      <w:pPr>
        <w:widowControl/>
        <w:numPr>
          <w:ilvl w:val="0"/>
          <w:numId w:val="67"/>
        </w:numPr>
      </w:pPr>
      <w:r>
        <w:rPr>
          <w:rFonts w:ascii="Calibri" w:hAnsi="Calibri"/>
          <w:b w:val="0"/>
          <w:sz w:val="20"/>
        </w:rPr>
        <w:t>payroll, withholding, unemployment, workers' compensation, and employer registrations as applicable;</w:t>
      </w:r>
    </w:p>
    <w:p>
      <w:pPr>
        <w:widowControl/>
        <w:numPr>
          <w:ilvl w:val="0"/>
          <w:numId w:val="67"/>
        </w:numPr>
      </w:pPr>
      <w:r>
        <w:rPr>
          <w:rFonts w:ascii="Calibri" w:hAnsi="Calibri"/>
          <w:b w:val="0"/>
          <w:sz w:val="20"/>
        </w:rPr>
        <w:t>a family-employment tax memorandum identifying the person treated as owner of the disregarded LLC for the limited FICA and FUTA rules and separately addressing income-tax withholding, FICA, FUTA, Georgia withholding, and Georgia unemployment tax;</w:t>
      </w:r>
    </w:p>
    <w:p>
      <w:pPr>
        <w:widowControl/>
        <w:numPr>
          <w:ilvl w:val="0"/>
          <w:numId w:val="67"/>
        </w:numPr>
      </w:pPr>
      <w:r>
        <w:rPr>
          <w:rFonts w:ascii="Calibri" w:hAnsi="Calibri"/>
          <w:b w:val="0"/>
          <w:sz w:val="20"/>
        </w:rPr>
        <w:t>a lawful pay cycle and pay statement; and</w:t>
      </w:r>
    </w:p>
    <w:p>
      <w:pPr>
        <w:widowControl/>
        <w:numPr>
          <w:ilvl w:val="0"/>
          <w:numId w:val="67"/>
        </w:numPr>
      </w:pPr>
      <w:r>
        <w:rPr>
          <w:rFonts w:ascii="Calibri" w:hAnsi="Calibri"/>
          <w:b w:val="0"/>
          <w:sz w:val="20"/>
        </w:rPr>
        <w:t>year-end Form W-2 and other required filings.</w:t>
      </w:r>
    </w:p>
    <w:p>
      <w:pPr>
        <w:keepLines w:val="0"/>
        <w:widowControl/>
      </w:pPr>
      <w:r>
        <w:rPr>
          <w:rFonts w:ascii="Calibri" w:hAnsi="Calibri"/>
          <w:b w:val="0"/>
          <w:sz w:val="21"/>
        </w:rPr>
        <w:t>[CPA: state whether the federal tax owner is Liam's parent, Liam, another person, or a non-grantor trust and whether the limited family-employment FICA/FUTA exceptions apply, do not apply, or change under the final structure. A later corporate or S election requires a new analysis. Do not infer the result from trust-law labels.]</w:t>
      </w:r>
    </w:p>
    <w:p>
      <w:pPr>
        <w:pStyle w:val="Heading2"/>
        <w:pageBreakBefore w:val="0"/>
      </w:pPr>
      <w:r>
        <w:rPr>
          <w:rFonts w:ascii="Calibri" w:hAnsi="Calibri"/>
          <w:b/>
        </w:rPr>
        <w:t>11. Prior family transfers not payroll</w:t>
      </w:r>
    </w:p>
    <w:p>
      <w:pPr>
        <w:keepLines w:val="0"/>
        <w:widowControl/>
      </w:pPr>
      <w:r>
        <w:rPr>
          <w:rFonts w:ascii="Calibri" w:hAnsi="Calibri"/>
          <w:b w:val="0"/>
          <w:sz w:val="21"/>
        </w:rPr>
        <w:t>The parties acknowledge that the approximately $200 weekly transfers from Vik Thadani to the Current account and larger deposits described as gifts or family support are not Company payroll in the reviewed record. They will not be relabeled retroactively as wages, reimbursements, Company distributions, or capital without supporting facts and written advisor approval.</w:t>
      </w:r>
    </w:p>
    <w:p>
      <w:pPr>
        <w:pStyle w:val="Heading2"/>
        <w:pageBreakBefore w:val="0"/>
      </w:pPr>
      <w:r>
        <w:rPr>
          <w:rFonts w:ascii="Calibri" w:hAnsi="Calibri"/>
          <w:b/>
        </w:rPr>
        <w:t>12. Expenses</w:t>
      </w:r>
    </w:p>
    <w:p>
      <w:pPr>
        <w:keepLines w:val="0"/>
        <w:widowControl/>
      </w:pPr>
      <w:r>
        <w:rPr>
          <w:rFonts w:ascii="Calibri" w:hAnsi="Calibri"/>
          <w:b w:val="0"/>
          <w:sz w:val="21"/>
        </w:rPr>
        <w:t>The Company shall reimburse authorized, substantiated business expenses under a written accountable-plan or reimbursement policy approved by the CPA. A reimbursement request must identify date, vendor, amount, business purpose, receipt, payer, asset owner, and any personal-use allocation.</w:t>
      </w:r>
    </w:p>
    <w:p>
      <w:pPr>
        <w:keepLines w:val="0"/>
        <w:widowControl/>
      </w:pPr>
      <w:r>
        <w:rPr>
          <w:rFonts w:ascii="Calibri" w:hAnsi="Calibri"/>
          <w:b w:val="0"/>
          <w:sz w:val="21"/>
        </w:rPr>
        <w:t>Father-paid or Liam-paid historical expenses remain in the separate CPA review. Future business purchases should use Company accounts where practical.</w:t>
      </w:r>
    </w:p>
    <w:p>
      <w:pPr>
        <w:pStyle w:val="Heading2"/>
        <w:pageBreakBefore w:val="0"/>
      </w:pPr>
      <w:r>
        <w:rPr>
          <w:rFonts w:ascii="Calibri" w:hAnsi="Calibri"/>
          <w:b/>
        </w:rPr>
        <w:t>13. Benefits and leave</w:t>
      </w:r>
    </w:p>
    <w:p>
      <w:pPr>
        <w:keepLines w:val="0"/>
        <w:widowControl/>
      </w:pPr>
      <w:r>
        <w:rPr>
          <w:rFonts w:ascii="Calibri" w:hAnsi="Calibri"/>
          <w:b w:val="0"/>
          <w:sz w:val="21"/>
        </w:rPr>
        <w:t>[COUNSEL/CPA: state benefits, paid time off, sick leave, expense allowances, equipment, and any exclusions. Do not promise a benefit the Company has not adopted.]</w:t>
      </w:r>
    </w:p>
    <w:p>
      <w:pPr>
        <w:pStyle w:val="Heading2"/>
        <w:pageBreakBefore w:val="0"/>
      </w:pPr>
      <w:r>
        <w:rPr>
          <w:rFonts w:ascii="Calibri" w:hAnsi="Calibri"/>
          <w:b/>
        </w:rPr>
        <w:t>14. No equity promise in employment agreement</w:t>
      </w:r>
    </w:p>
    <w:p>
      <w:pPr>
        <w:keepLines w:val="0"/>
        <w:widowControl/>
      </w:pPr>
      <w:r>
        <w:rPr>
          <w:rFonts w:ascii="Calibri" w:hAnsi="Calibri"/>
          <w:b w:val="0"/>
          <w:sz w:val="21"/>
        </w:rPr>
        <w:t>This agreement grants no equity, option, membership, profits interest, or distribution right. The separate Trust and Handoff instruments control ownership. No supervisor may make an oral equity or ownership promise.</w:t>
      </w:r>
    </w:p>
    <w:p>
      <w:pPr>
        <w:pStyle w:val="Heading1"/>
        <w:pageBreakBefore w:val="0"/>
      </w:pPr>
      <w:r>
        <w:rPr>
          <w:rFonts w:ascii="Calibri" w:hAnsi="Calibri"/>
          <w:b/>
        </w:rPr>
        <w:t>Part C - Authority and outside activities</w:t>
      </w:r>
    </w:p>
    <w:p>
      <w:pPr>
        <w:pStyle w:val="Heading2"/>
        <w:pageBreakBefore w:val="0"/>
      </w:pPr>
      <w:r>
        <w:rPr>
          <w:rFonts w:ascii="Calibri" w:hAnsi="Calibri"/>
          <w:b/>
        </w:rPr>
        <w:t>15. Delegated authority</w:t>
      </w:r>
    </w:p>
    <w:p>
      <w:pPr>
        <w:keepLines w:val="0"/>
        <w:widowControl/>
      </w:pPr>
      <w:r>
        <w:rPr>
          <w:rFonts w:ascii="Calibri" w:hAnsi="Calibri"/>
          <w:b w:val="0"/>
          <w:sz w:val="21"/>
        </w:rPr>
        <w:t>Liam's authority is limited to Instrument 6, the current authority certificate, approved budgets, and platform roles. If they conflict, the narrowest limit controls. Liam shall identify himself accurately as an employee or authorized product lead, not as current member or manager.</w:t>
      </w:r>
    </w:p>
    <w:p>
      <w:pPr>
        <w:pStyle w:val="Heading2"/>
        <w:pageBreakBefore w:val="0"/>
      </w:pPr>
      <w:r>
        <w:rPr>
          <w:rFonts w:ascii="Calibri" w:hAnsi="Calibri"/>
          <w:b/>
        </w:rPr>
        <w:t>16. Outside work and conflicting obligations</w:t>
      </w:r>
    </w:p>
    <w:p>
      <w:pPr>
        <w:keepLines w:val="0"/>
        <w:widowControl/>
      </w:pPr>
      <w:r>
        <w:rPr>
          <w:rFonts w:ascii="Calibri" w:hAnsi="Calibri"/>
          <w:b w:val="0"/>
          <w:sz w:val="21"/>
        </w:rPr>
        <w:t>Liam shall disclose any school program, class, contest, hackathon, internship, employer, client, volunteer role, open-source project, platform program, or other activity that could claim rights, restrict work, or create a conflict. He shall not use another person's confidential information or property for Company work.</w:t>
      </w:r>
    </w:p>
    <w:p>
      <w:pPr>
        <w:keepLines w:val="0"/>
        <w:widowControl/>
      </w:pPr>
      <w:r>
        <w:rPr>
          <w:rFonts w:ascii="Calibri" w:hAnsi="Calibri"/>
          <w:b w:val="0"/>
          <w:sz w:val="21"/>
        </w:rPr>
        <w:t>The Company shall not unreasonably prohibit lawful personal learning or independent projects that do not use Company confidential information, Company time, Company accounts, or Company resources and do not compete or conflict with assigned duties. [COUNSEL: tailor without adding a broad noncompete.]</w:t>
      </w:r>
    </w:p>
    <w:p>
      <w:pPr>
        <w:pStyle w:val="Heading1"/>
        <w:pageBreakBefore w:val="0"/>
      </w:pPr>
      <w:r>
        <w:rPr>
          <w:rFonts w:ascii="Calibri" w:hAnsi="Calibri"/>
          <w:b/>
        </w:rPr>
        <w:t>Part D - Confidentiality and protected disclosures</w:t>
      </w:r>
    </w:p>
    <w:p>
      <w:pPr>
        <w:pStyle w:val="Heading2"/>
        <w:pageBreakBefore w:val="0"/>
      </w:pPr>
      <w:r>
        <w:rPr>
          <w:rFonts w:ascii="Calibri" w:hAnsi="Calibri"/>
          <w:b/>
        </w:rPr>
        <w:t>17. Confidential Information</w:t>
      </w:r>
    </w:p>
    <w:p>
      <w:pPr>
        <w:keepLines w:val="0"/>
        <w:widowControl/>
      </w:pPr>
      <w:r>
        <w:rPr>
          <w:rFonts w:ascii="Calibri" w:hAnsi="Calibri"/>
          <w:b w:val="0"/>
          <w:sz w:val="21"/>
        </w:rPr>
        <w:t>"Confidential Information" means nonpublic Company information that derives value from confidentiality or that the Company reasonably treats as confidential, including source code not publicly released, commercial modules, credentials, security designs, customer or prospect information, pricing strategy, product plans, unpublished vulnerabilities, financial data, Company legal advice, personal data, and proprietary methods. Trust records are not Company property; any Trust information separately disclosed for work remains subject to the Trust, beneficiary-access, and independent-advisor rights and cannot be withheld under this employment clause.</w:t>
      </w:r>
    </w:p>
    <w:p>
      <w:pPr>
        <w:keepLines w:val="0"/>
        <w:widowControl/>
      </w:pPr>
      <w:r>
        <w:rPr>
          <w:rFonts w:ascii="Calibri" w:hAnsi="Calibri"/>
          <w:b w:val="0"/>
          <w:sz w:val="21"/>
        </w:rPr>
        <w:t>Confidential Information excludes information Liam can document:</w:t>
      </w:r>
    </w:p>
    <w:p>
      <w:pPr>
        <w:widowControl/>
        <w:numPr>
          <w:ilvl w:val="0"/>
          <w:numId w:val="68"/>
        </w:numPr>
      </w:pPr>
      <w:r>
        <w:rPr>
          <w:rFonts w:ascii="Calibri" w:hAnsi="Calibri"/>
          <w:b w:val="0"/>
          <w:sz w:val="20"/>
        </w:rPr>
        <w:t>was lawfully public without breach;</w:t>
      </w:r>
    </w:p>
    <w:p>
      <w:pPr>
        <w:widowControl/>
        <w:numPr>
          <w:ilvl w:val="0"/>
          <w:numId w:val="68"/>
        </w:numPr>
      </w:pPr>
      <w:r>
        <w:rPr>
          <w:rFonts w:ascii="Calibri" w:hAnsi="Calibri"/>
          <w:b w:val="0"/>
          <w:sz w:val="20"/>
        </w:rPr>
        <w:t>he lawfully knew without confidentiality duty before Company disclosure;</w:t>
      </w:r>
    </w:p>
    <w:p>
      <w:pPr>
        <w:widowControl/>
        <w:numPr>
          <w:ilvl w:val="0"/>
          <w:numId w:val="68"/>
        </w:numPr>
      </w:pPr>
      <w:r>
        <w:rPr>
          <w:rFonts w:ascii="Calibri" w:hAnsi="Calibri"/>
          <w:b w:val="0"/>
          <w:sz w:val="20"/>
        </w:rPr>
        <w:t>he received lawfully from a third party without duty; or</w:t>
      </w:r>
    </w:p>
    <w:p>
      <w:pPr>
        <w:widowControl/>
        <w:numPr>
          <w:ilvl w:val="0"/>
          <w:numId w:val="68"/>
        </w:numPr>
      </w:pPr>
      <w:r>
        <w:rPr>
          <w:rFonts w:ascii="Calibri" w:hAnsi="Calibri"/>
          <w:b w:val="0"/>
          <w:sz w:val="20"/>
        </w:rPr>
        <w:t>he independently developed outside employment without Company information or resources.</w:t>
      </w:r>
    </w:p>
    <w:p>
      <w:pPr>
        <w:pStyle w:val="Heading2"/>
        <w:pageBreakBefore w:val="0"/>
      </w:pPr>
      <w:r>
        <w:rPr>
          <w:rFonts w:ascii="Calibri" w:hAnsi="Calibri"/>
          <w:b/>
        </w:rPr>
        <w:t>18. Duties</w:t>
      </w:r>
    </w:p>
    <w:p>
      <w:pPr>
        <w:keepLines w:val="0"/>
        <w:widowControl/>
      </w:pPr>
      <w:r>
        <w:rPr>
          <w:rFonts w:ascii="Calibri" w:hAnsi="Calibri"/>
          <w:b w:val="0"/>
          <w:sz w:val="21"/>
        </w:rPr>
        <w:t>Liam shall use Confidential Information only for Company work, protect it with reasonable care, follow access restrictions, and disclose it only to authorized persons. He shall report suspected loss or misuse promptly.</w:t>
      </w:r>
    </w:p>
    <w:p>
      <w:pPr>
        <w:pStyle w:val="Heading2"/>
        <w:pageBreakBefore w:val="0"/>
      </w:pPr>
      <w:r>
        <w:rPr>
          <w:rFonts w:ascii="Calibri" w:hAnsi="Calibri"/>
          <w:b/>
        </w:rPr>
        <w:t>19. Protected legal activity</w:t>
      </w:r>
    </w:p>
    <w:p>
      <w:pPr>
        <w:keepLines w:val="0"/>
        <w:widowControl/>
      </w:pPr>
      <w:r>
        <w:rPr>
          <w:rFonts w:ascii="Calibri" w:hAnsi="Calibri"/>
          <w:b w:val="0"/>
          <w:sz w:val="21"/>
        </w:rPr>
        <w:t>Nothing prohibits Liam from reporting a suspected legal violation, communicating with a government agency or lawyer, participating in an investigation, making a protected labor or whistleblower disclosure, discussing wages or working conditions where protected, or exercising another nonwaivable right. Liam does not need Company permission for protected activity and need not notify the Company if law protects confidentiality.</w:t>
      </w:r>
    </w:p>
    <w:p>
      <w:pPr>
        <w:pStyle w:val="Heading2"/>
        <w:pageBreakBefore w:val="0"/>
      </w:pPr>
      <w:r>
        <w:rPr>
          <w:rFonts w:ascii="Calibri" w:hAnsi="Calibri"/>
          <w:b/>
        </w:rPr>
        <w:t>20. Defend Trade Secrets Act notice</w:t>
      </w:r>
    </w:p>
    <w:p>
      <w:pPr>
        <w:keepLines w:val="0"/>
        <w:widowControl/>
      </w:pPr>
      <w:r>
        <w:rPr>
          <w:rFonts w:ascii="Calibri" w:hAnsi="Calibri"/>
          <w:b w:val="0"/>
          <w:sz w:val="21"/>
        </w:rPr>
        <w:t>Under 18 U.S.C. Section 1833(b), an individual is not civilly or criminally liable under federal or state trade-secret law for disclosing a trade secret in confidence to a federal, state, or local government official or to an attorney solely to report or investigate a suspected legal violation, or for including it in a complaint or other filing made under seal. An individual who sues for retaliation may disclose the trade secret to the individual's attorney and use it in the proceeding if filings containing the secret are made under seal and the secret is not disclosed except by court order.</w:t>
      </w:r>
    </w:p>
    <w:p>
      <w:pPr>
        <w:pStyle w:val="Heading2"/>
        <w:pageBreakBefore w:val="0"/>
      </w:pPr>
      <w:r>
        <w:rPr>
          <w:rFonts w:ascii="Calibri" w:hAnsi="Calibri"/>
          <w:b/>
        </w:rPr>
        <w:t>21. Legal process</w:t>
      </w:r>
    </w:p>
    <w:p>
      <w:pPr>
        <w:keepLines w:val="0"/>
        <w:widowControl/>
      </w:pPr>
      <w:r>
        <w:rPr>
          <w:rFonts w:ascii="Calibri" w:hAnsi="Calibri"/>
          <w:b w:val="0"/>
          <w:sz w:val="21"/>
        </w:rPr>
        <w:t>If lawful and not prohibited, Liam shall notify the Company of a subpoena or demand seeking Company Confidential Information so the Company may seek protection. He shall not obstruct legal process or a protected report.</w:t>
      </w:r>
    </w:p>
    <w:p>
      <w:pPr>
        <w:pStyle w:val="Heading1"/>
        <w:pageBreakBefore w:val="0"/>
      </w:pPr>
      <w:r>
        <w:rPr>
          <w:rFonts w:ascii="Calibri" w:hAnsi="Calibri"/>
          <w:b/>
        </w:rPr>
        <w:t>Part E - Future work, work made for hire, and invention assignment</w:t>
      </w:r>
    </w:p>
    <w:p>
      <w:pPr>
        <w:pStyle w:val="Heading2"/>
        <w:pageBreakBefore w:val="0"/>
      </w:pPr>
      <w:r>
        <w:rPr>
          <w:rFonts w:ascii="Calibri" w:hAnsi="Calibri"/>
          <w:b/>
        </w:rPr>
        <w:t>22. Work Product</w:t>
      </w:r>
    </w:p>
    <w:p>
      <w:pPr>
        <w:keepLines w:val="0"/>
        <w:widowControl/>
      </w:pPr>
      <w:r>
        <w:rPr>
          <w:rFonts w:ascii="Calibri" w:hAnsi="Calibri"/>
          <w:b w:val="0"/>
          <w:sz w:val="21"/>
        </w:rPr>
        <w:t>"Work Product" means any work, invention, discovery, improvement, development, design, documentation, code, test, data structure, model configuration, prompt, workflow, process, brand asset, writing, diagram, audiovisual material, domain or account asset, or other material that Liam creates, conceives, reduces to practice, authors, develops, or contributes to:</w:t>
      </w:r>
    </w:p>
    <w:p>
      <w:pPr>
        <w:widowControl/>
        <w:numPr>
          <w:ilvl w:val="0"/>
          <w:numId w:val="69"/>
        </w:numPr>
      </w:pPr>
      <w:r>
        <w:rPr>
          <w:rFonts w:ascii="Calibri" w:hAnsi="Calibri"/>
          <w:b w:val="0"/>
          <w:sz w:val="20"/>
        </w:rPr>
        <w:t>within the scope of employment;</w:t>
      </w:r>
    </w:p>
    <w:p>
      <w:pPr>
        <w:widowControl/>
        <w:numPr>
          <w:ilvl w:val="0"/>
          <w:numId w:val="69"/>
        </w:numPr>
      </w:pPr>
      <w:r>
        <w:rPr>
          <w:rFonts w:ascii="Calibri" w:hAnsi="Calibri"/>
          <w:b w:val="0"/>
          <w:sz w:val="20"/>
        </w:rPr>
        <w:t>at the Company's direction or for an assigned Company project;</w:t>
      </w:r>
    </w:p>
    <w:p>
      <w:pPr>
        <w:widowControl/>
        <w:numPr>
          <w:ilvl w:val="0"/>
          <w:numId w:val="69"/>
        </w:numPr>
      </w:pPr>
      <w:r>
        <w:rPr>
          <w:rFonts w:ascii="Calibri" w:hAnsi="Calibri"/>
          <w:b w:val="0"/>
          <w:sz w:val="20"/>
        </w:rPr>
        <w:t>using Company time, Confidential Information, accounts, funds, or material resources; or</w:t>
      </w:r>
    </w:p>
    <w:p>
      <w:pPr>
        <w:widowControl/>
        <w:numPr>
          <w:ilvl w:val="0"/>
          <w:numId w:val="69"/>
        </w:numPr>
      </w:pPr>
      <w:r>
        <w:rPr>
          <w:rFonts w:ascii="Calibri" w:hAnsi="Calibri"/>
          <w:b w:val="0"/>
          <w:sz w:val="20"/>
        </w:rPr>
        <w:t>relating directly to the Company's actual or demonstrably anticipated business, research, or development, subject to any limits counsel must add under applicable law.</w:t>
      </w:r>
    </w:p>
    <w:p>
      <w:pPr>
        <w:pStyle w:val="Heading2"/>
        <w:pageBreakBefore w:val="0"/>
      </w:pPr>
      <w:r>
        <w:rPr>
          <w:rFonts w:ascii="Calibri" w:hAnsi="Calibri"/>
          <w:b/>
        </w:rPr>
        <w:t>23. Work made for hire</w:t>
      </w:r>
    </w:p>
    <w:p>
      <w:pPr>
        <w:keepLines w:val="0"/>
        <w:widowControl/>
      </w:pPr>
      <w:r>
        <w:rPr>
          <w:rFonts w:ascii="Calibri" w:hAnsi="Calibri"/>
          <w:b w:val="0"/>
          <w:sz w:val="21"/>
        </w:rPr>
        <w:t>To the extent copyright law permits, copyrightable Work Product created by Liam as an employee within the scope of employment is specially understood to be a "work made for hire," and the Company is the author and initial owner under 17 U.S.C. Sections 101 and 201(b).</w:t>
      </w:r>
    </w:p>
    <w:p>
      <w:pPr>
        <w:keepLines w:val="0"/>
        <w:widowControl/>
      </w:pPr>
      <w:r>
        <w:rPr>
          <w:rFonts w:ascii="Calibri" w:hAnsi="Calibri"/>
          <w:b w:val="0"/>
          <w:sz w:val="21"/>
        </w:rPr>
        <w:t>This clause applies only to a real employment relationship and actual scope of employment. It does not retroactively convert historical work or contractor work into work made for hire.</w:t>
      </w:r>
    </w:p>
    <w:p>
      <w:pPr>
        <w:pStyle w:val="Heading2"/>
        <w:pageBreakBefore w:val="0"/>
      </w:pPr>
      <w:r>
        <w:rPr>
          <w:rFonts w:ascii="Calibri" w:hAnsi="Calibri"/>
          <w:b/>
        </w:rPr>
        <w:t>24. Present assignment backstop</w:t>
      </w:r>
    </w:p>
    <w:p>
      <w:pPr>
        <w:keepLines w:val="0"/>
        <w:widowControl/>
      </w:pPr>
      <w:r>
        <w:rPr>
          <w:rFonts w:ascii="Calibri" w:hAnsi="Calibri"/>
          <w:b w:val="0"/>
          <w:sz w:val="21"/>
        </w:rPr>
        <w:t>To the extent any Work Product is not a work made for hire or does not initially vest in the Company, Liam hereby assigns to the Company, at creation, all right, title, and interest in and to that Work Product, including copyright, patent, trade-secret, design, database, and other rights, worldwide for the full term of the rights.</w:t>
      </w:r>
    </w:p>
    <w:p>
      <w:pPr>
        <w:keepLines w:val="0"/>
        <w:widowControl/>
      </w:pPr>
      <w:r>
        <w:rPr>
          <w:rFonts w:ascii="Calibri" w:hAnsi="Calibri"/>
          <w:b w:val="0"/>
          <w:sz w:val="21"/>
        </w:rPr>
        <w:t>This is intended as a present assignment of future rights when they arise, not merely a promise to assign. Counsel must confirm enforceability against a minor, state-law limits, and the need for adult confirmation or court approval.</w:t>
      </w:r>
    </w:p>
    <w:p>
      <w:pPr>
        <w:pStyle w:val="Heading2"/>
        <w:pageBreakBefore w:val="0"/>
      </w:pPr>
      <w:r>
        <w:rPr>
          <w:rFonts w:ascii="Calibri" w:hAnsi="Calibri"/>
          <w:b/>
        </w:rPr>
        <w:t>25. Inventions and patents</w:t>
      </w:r>
    </w:p>
    <w:p>
      <w:pPr>
        <w:keepLines w:val="0"/>
        <w:widowControl/>
      </w:pPr>
      <w:r>
        <w:rPr>
          <w:rFonts w:ascii="Calibri" w:hAnsi="Calibri"/>
          <w:b w:val="0"/>
          <w:sz w:val="21"/>
        </w:rPr>
        <w:t>Liam shall disclose potentially patentable Work Product promptly. The Company decides whether to seek patent protection, maintain secrecy, publish defensively, or abandon an application. Liam shall execute lawful inventor declarations and assignments, and the Company pays reasonable related expenses.</w:t>
      </w:r>
    </w:p>
    <w:p>
      <w:pPr>
        <w:keepLines w:val="0"/>
        <w:widowControl/>
      </w:pPr>
      <w:r>
        <w:rPr>
          <w:rFonts w:ascii="Calibri" w:hAnsi="Calibri"/>
          <w:b w:val="0"/>
          <w:sz w:val="21"/>
        </w:rPr>
        <w:t>Copyright work-made-for-hire status does not substitute for a written patent assignment under 35 U.S.C. Section 261.</w:t>
      </w:r>
    </w:p>
    <w:p>
      <w:pPr>
        <w:pStyle w:val="Heading2"/>
        <w:pageBreakBefore w:val="0"/>
      </w:pPr>
      <w:r>
        <w:rPr>
          <w:rFonts w:ascii="Calibri" w:hAnsi="Calibri"/>
          <w:b/>
        </w:rPr>
        <w:t>26. Preexisting and excluded materials</w:t>
      </w:r>
    </w:p>
    <w:p>
      <w:pPr>
        <w:keepLines w:val="0"/>
        <w:widowControl/>
      </w:pPr>
      <w:r>
        <w:rPr>
          <w:rFonts w:ascii="Calibri" w:hAnsi="Calibri"/>
          <w:b w:val="0"/>
          <w:sz w:val="21"/>
        </w:rPr>
        <w:t>Schedule 10-C lists material Liam created or owned before employment that is excluded from future assignment. An item omitted from Schedule 10-C is not automatically Company-owned if law says otherwise, but omission may be evidence considered with the actual facts.</w:t>
      </w:r>
    </w:p>
    <w:p>
      <w:pPr>
        <w:keepLines w:val="0"/>
        <w:widowControl/>
      </w:pPr>
      <w:r>
        <w:rPr>
          <w:rFonts w:ascii="Calibri" w:hAnsi="Calibri"/>
          <w:b w:val="0"/>
          <w:sz w:val="21"/>
        </w:rPr>
        <w:t>If Liam wants to incorporate preexisting or third-party material into Work Product, he must obtain written approval and identify the license. Incorporation does not transfer third-party ownership and may require a separate license or Instrument 9 update.</w:t>
      </w:r>
    </w:p>
    <w:p>
      <w:pPr>
        <w:pStyle w:val="Heading2"/>
        <w:pageBreakBefore w:val="0"/>
      </w:pPr>
      <w:r>
        <w:rPr>
          <w:rFonts w:ascii="Calibri" w:hAnsi="Calibri"/>
          <w:b/>
        </w:rPr>
        <w:t>27. Moral rights</w:t>
      </w:r>
    </w:p>
    <w:p>
      <w:pPr>
        <w:keepLines w:val="0"/>
        <w:widowControl/>
      </w:pPr>
      <w:r>
        <w:rPr>
          <w:rFonts w:ascii="Calibri" w:hAnsi="Calibri"/>
          <w:b w:val="0"/>
          <w:sz w:val="21"/>
        </w:rPr>
        <w:t>To the extent waivable, Liam waives and agrees not to assert moral rights in Work Product. Where not waivable, he consents to modification, combination, publication, nonpublication, and attribution decisions reasonably made by the Company.</w:t>
      </w:r>
    </w:p>
    <w:p>
      <w:pPr>
        <w:pStyle w:val="Heading2"/>
        <w:pageBreakBefore w:val="0"/>
      </w:pPr>
      <w:r>
        <w:rPr>
          <w:rFonts w:ascii="Calibri" w:hAnsi="Calibri"/>
          <w:b/>
        </w:rPr>
        <w:t>28. No nonwaivable-right waiver</w:t>
      </w:r>
    </w:p>
    <w:p>
      <w:pPr>
        <w:keepLines w:val="0"/>
        <w:widowControl/>
      </w:pPr>
      <w:r>
        <w:rPr>
          <w:rFonts w:ascii="Calibri" w:hAnsi="Calibri"/>
          <w:b w:val="0"/>
          <w:sz w:val="21"/>
        </w:rPr>
        <w:t>Nothing waives a nonwaivable right. Counsel shall consider any federal termination right applicable to an assignment backstop and shall not represent every assigned work as a work made for hire merely to avoid it.</w:t>
      </w:r>
    </w:p>
    <w:p>
      <w:pPr>
        <w:pStyle w:val="Heading2"/>
        <w:pageBreakBefore w:val="0"/>
      </w:pPr>
      <w:r>
        <w:rPr>
          <w:rFonts w:ascii="Calibri" w:hAnsi="Calibri"/>
          <w:b/>
        </w:rPr>
        <w:t>29. Further assurances after employment</w:t>
      </w:r>
    </w:p>
    <w:p>
      <w:pPr>
        <w:keepLines w:val="0"/>
        <w:widowControl/>
      </w:pPr>
      <w:r>
        <w:rPr>
          <w:rFonts w:ascii="Calibri" w:hAnsi="Calibri"/>
          <w:b w:val="0"/>
          <w:sz w:val="21"/>
        </w:rPr>
        <w:t>During and after employment, Liam shall provide reasonable assistance to document, register, record, maintain, and enforce Company rights, with Company-paid reasonable expenses. If substantial post-employment services are needed, the Company shall pay [COUNSEL: reasonable rate or statutory amount].</w:t>
      </w:r>
    </w:p>
    <w:p>
      <w:pPr>
        <w:pStyle w:val="Heading2"/>
        <w:pageBreakBefore w:val="0"/>
      </w:pPr>
      <w:r>
        <w:rPr>
          <w:rFonts w:ascii="Calibri" w:hAnsi="Calibri"/>
          <w:b/>
        </w:rPr>
        <w:t>30. Narrow power of attorney</w:t>
      </w:r>
    </w:p>
    <w:p>
      <w:pPr>
        <w:keepLines w:val="0"/>
        <w:widowControl/>
      </w:pPr>
      <w:r>
        <w:rPr>
          <w:rFonts w:ascii="Calibri" w:hAnsi="Calibri"/>
          <w:b w:val="0"/>
          <w:sz w:val="21"/>
        </w:rPr>
        <w:t>[COUNSEL: decide whether any power of attorney is necessary and lawful. Do not include a broad irrevocable power by default for a minor. Any final power must be limited to ministerial IP filings after notice and inability to obtain a signature.]</w:t>
      </w:r>
    </w:p>
    <w:p>
      <w:pPr>
        <w:pStyle w:val="Heading1"/>
        <w:pageBreakBefore w:val="0"/>
      </w:pPr>
      <w:r>
        <w:rPr>
          <w:rFonts w:ascii="Calibri" w:hAnsi="Calibri"/>
          <w:b/>
        </w:rPr>
        <w:t>Part F - Open-source, third-party, AI, and contributor policy</w:t>
      </w:r>
    </w:p>
    <w:p>
      <w:pPr>
        <w:pStyle w:val="Heading2"/>
        <w:pageBreakBefore w:val="0"/>
      </w:pPr>
      <w:r>
        <w:rPr>
          <w:rFonts w:ascii="Calibri" w:hAnsi="Calibri"/>
          <w:b/>
        </w:rPr>
        <w:t>31. Open-source intake</w:t>
      </w:r>
    </w:p>
    <w:p>
      <w:pPr>
        <w:keepLines w:val="0"/>
        <w:widowControl/>
      </w:pPr>
      <w:r>
        <w:rPr>
          <w:rFonts w:ascii="Calibri" w:hAnsi="Calibri"/>
          <w:b w:val="0"/>
          <w:sz w:val="21"/>
        </w:rPr>
        <w:t>Liam may use a third-party open-source dependency only through the approved intake process, which records package, version, source, license, dependency path, intended distribution, notice/source obligations, security status, and approving person. No copyleft, source-available, noncommercial, field-of-use, or unknown license may be introduced without written review.</w:t>
      </w:r>
    </w:p>
    <w:p>
      <w:pPr>
        <w:pStyle w:val="Heading2"/>
        <w:pageBreakBefore w:val="0"/>
      </w:pPr>
      <w:r>
        <w:rPr>
          <w:rFonts w:ascii="Calibri" w:hAnsi="Calibri"/>
          <w:b/>
        </w:rPr>
        <w:t>32. Company open-source release</w:t>
      </w:r>
    </w:p>
    <w:p>
      <w:pPr>
        <w:keepLines w:val="0"/>
        <w:widowControl/>
      </w:pPr>
      <w:r>
        <w:rPr>
          <w:rFonts w:ascii="Calibri" w:hAnsi="Calibri"/>
          <w:b w:val="0"/>
          <w:sz w:val="21"/>
        </w:rPr>
        <w:t>Liam may not make Company source public, accept outside contributions, change a copyright notice, or grant an open-source license except under the release gate in Instrument 6. A release decision must identify the authorized copyright owner and exact released bytes.</w:t>
      </w:r>
    </w:p>
    <w:p>
      <w:pPr>
        <w:pStyle w:val="Heading2"/>
        <w:pageBreakBefore w:val="0"/>
      </w:pPr>
      <w:r>
        <w:rPr>
          <w:rFonts w:ascii="Calibri" w:hAnsi="Calibri"/>
          <w:b/>
        </w:rPr>
        <w:t>33. Contributions to outside projects</w:t>
      </w:r>
    </w:p>
    <w:p>
      <w:pPr>
        <w:keepLines w:val="0"/>
        <w:widowControl/>
      </w:pPr>
      <w:r>
        <w:rPr>
          <w:rFonts w:ascii="Calibri" w:hAnsi="Calibri"/>
          <w:b w:val="0"/>
          <w:sz w:val="21"/>
        </w:rPr>
        <w:t>Liam may contribute Company work to an outside project only with written approval identifying the code, owner, license, account, and business purpose. Personal contributions shall not use Company Confidential Information or create confusion about Company sponsorship.</w:t>
      </w:r>
    </w:p>
    <w:p>
      <w:pPr>
        <w:pStyle w:val="Heading2"/>
        <w:pageBreakBefore w:val="0"/>
      </w:pPr>
      <w:r>
        <w:rPr>
          <w:rFonts w:ascii="Calibri" w:hAnsi="Calibri"/>
          <w:b/>
        </w:rPr>
        <w:t>34. AI tools</w:t>
      </w:r>
    </w:p>
    <w:p>
      <w:pPr>
        <w:keepLines w:val="0"/>
        <w:widowControl/>
      </w:pPr>
      <w:r>
        <w:rPr>
          <w:rFonts w:ascii="Calibri" w:hAnsi="Calibri"/>
          <w:b w:val="0"/>
          <w:sz w:val="21"/>
        </w:rPr>
        <w:t>Only approved AI services, models, extensions, and accounts may be used for Company work. For material use, Liam shall record:</w:t>
      </w:r>
    </w:p>
    <w:p>
      <w:pPr>
        <w:widowControl/>
        <w:numPr>
          <w:ilvl w:val="0"/>
          <w:numId w:val="70"/>
        </w:numPr>
      </w:pPr>
      <w:r>
        <w:rPr>
          <w:rFonts w:ascii="Calibri" w:hAnsi="Calibri"/>
          <w:b w:val="0"/>
          <w:sz w:val="20"/>
        </w:rPr>
        <w:t>provider, model/tool, account holder, and payer;</w:t>
      </w:r>
    </w:p>
    <w:p>
      <w:pPr>
        <w:widowControl/>
        <w:numPr>
          <w:ilvl w:val="0"/>
          <w:numId w:val="70"/>
        </w:numPr>
      </w:pPr>
      <w:r>
        <w:rPr>
          <w:rFonts w:ascii="Calibri" w:hAnsi="Calibri"/>
          <w:b w:val="0"/>
          <w:sz w:val="20"/>
        </w:rPr>
        <w:t>date and purpose;</w:t>
      </w:r>
    </w:p>
    <w:p>
      <w:pPr>
        <w:widowControl/>
        <w:numPr>
          <w:ilvl w:val="0"/>
          <w:numId w:val="70"/>
        </w:numPr>
      </w:pPr>
      <w:r>
        <w:rPr>
          <w:rFonts w:ascii="Calibri" w:hAnsi="Calibri"/>
          <w:b w:val="0"/>
          <w:sz w:val="20"/>
        </w:rPr>
        <w:t>whether Company or third-party material was submitted;</w:t>
      </w:r>
    </w:p>
    <w:p>
      <w:pPr>
        <w:widowControl/>
        <w:numPr>
          <w:ilvl w:val="0"/>
          <w:numId w:val="70"/>
        </w:numPr>
      </w:pPr>
      <w:r>
        <w:rPr>
          <w:rFonts w:ascii="Calibri" w:hAnsi="Calibri"/>
          <w:b w:val="0"/>
          <w:sz w:val="20"/>
        </w:rPr>
        <w:t>material output incorporated;</w:t>
      </w:r>
    </w:p>
    <w:p>
      <w:pPr>
        <w:widowControl/>
        <w:numPr>
          <w:ilvl w:val="0"/>
          <w:numId w:val="70"/>
        </w:numPr>
      </w:pPr>
      <w:r>
        <w:rPr>
          <w:rFonts w:ascii="Calibri" w:hAnsi="Calibri"/>
          <w:b w:val="0"/>
          <w:sz w:val="20"/>
        </w:rPr>
        <w:t>human review, tests, and edits; and</w:t>
      </w:r>
    </w:p>
    <w:p>
      <w:pPr>
        <w:widowControl/>
        <w:numPr>
          <w:ilvl w:val="0"/>
          <w:numId w:val="70"/>
        </w:numPr>
      </w:pPr>
      <w:r>
        <w:rPr>
          <w:rFonts w:ascii="Calibri" w:hAnsi="Calibri"/>
          <w:b w:val="0"/>
          <w:sz w:val="20"/>
        </w:rPr>
        <w:t>relevant provider terms, retention, and training settings.</w:t>
      </w:r>
    </w:p>
    <w:p>
      <w:pPr>
        <w:keepLines w:val="0"/>
        <w:widowControl/>
      </w:pPr>
      <w:r>
        <w:rPr>
          <w:rFonts w:ascii="Calibri" w:hAnsi="Calibri"/>
          <w:b w:val="0"/>
          <w:sz w:val="21"/>
        </w:rPr>
        <w:t>No customer secret, credential, restricted predecessor code, school/employer material, or third-party confidential source may be placed into an AI service without authorization.</w:t>
      </w:r>
    </w:p>
    <w:p>
      <w:pPr>
        <w:pStyle w:val="Heading2"/>
        <w:pageBreakBefore w:val="0"/>
      </w:pPr>
      <w:r>
        <w:rPr>
          <w:rFonts w:ascii="Calibri" w:hAnsi="Calibri"/>
          <w:b/>
        </w:rPr>
        <w:t>35. AI output review</w:t>
      </w:r>
    </w:p>
    <w:p>
      <w:pPr>
        <w:keepLines w:val="0"/>
        <w:widowControl/>
      </w:pPr>
      <w:r>
        <w:rPr>
          <w:rFonts w:ascii="Calibri" w:hAnsi="Calibri"/>
          <w:b w:val="0"/>
          <w:sz w:val="21"/>
        </w:rPr>
        <w:t>AI output is a draft input, not presumed original, accurate, secure, licensable, or exclusively ownable. Liam shall review for similarity, license conflicts, security, correctness, provenance, and human-authorship issues before use. The Company may require replacement even after a test passes.</w:t>
      </w:r>
    </w:p>
    <w:p>
      <w:pPr>
        <w:pStyle w:val="Heading2"/>
        <w:pageBreakBefore w:val="0"/>
      </w:pPr>
      <w:r>
        <w:rPr>
          <w:rFonts w:ascii="Calibri" w:hAnsi="Calibri"/>
          <w:b/>
        </w:rPr>
        <w:t>36. Human contributors</w:t>
      </w:r>
    </w:p>
    <w:p>
      <w:pPr>
        <w:keepLines w:val="0"/>
        <w:widowControl/>
      </w:pPr>
      <w:r>
        <w:rPr>
          <w:rFonts w:ascii="Calibri" w:hAnsi="Calibri"/>
          <w:b w:val="0"/>
          <w:sz w:val="21"/>
        </w:rPr>
        <w:t>No friend, volunteer, community member, contractor, designer, or other human may contribute Company material without a counsel-approved agreement. Ordinary feedback that does not create protectable material should be documented as feedback, not misclassified as authorship.</w:t>
      </w:r>
    </w:p>
    <w:p>
      <w:pPr>
        <w:pStyle w:val="Heading1"/>
        <w:pageBreakBefore w:val="0"/>
      </w:pPr>
      <w:r>
        <w:rPr>
          <w:rFonts w:ascii="Calibri" w:hAnsi="Calibri"/>
          <w:b/>
        </w:rPr>
        <w:t>Part G - Devices, accounts, security, and records</w:t>
      </w:r>
    </w:p>
    <w:p>
      <w:pPr>
        <w:pStyle w:val="Heading2"/>
        <w:pageBreakBefore w:val="0"/>
      </w:pPr>
      <w:r>
        <w:rPr>
          <w:rFonts w:ascii="Calibri" w:hAnsi="Calibri"/>
          <w:b/>
        </w:rPr>
        <w:t>37. Company systems</w:t>
      </w:r>
    </w:p>
    <w:p>
      <w:pPr>
        <w:keepLines w:val="0"/>
        <w:widowControl/>
      </w:pPr>
      <w:r>
        <w:rPr>
          <w:rFonts w:ascii="Calibri" w:hAnsi="Calibri"/>
          <w:b w:val="0"/>
          <w:sz w:val="21"/>
        </w:rPr>
        <w:t>The Company shall provide or approve devices, repositories, accounts, email, password-manager access, keys, and tools. Personal devices or accounts may be used only under a written bring-your-own-device/account exception that addresses custody, privacy, security, reimbursement, and transfer.</w:t>
      </w:r>
    </w:p>
    <w:p>
      <w:pPr>
        <w:pStyle w:val="Heading2"/>
        <w:pageBreakBefore w:val="0"/>
      </w:pPr>
      <w:r>
        <w:rPr>
          <w:rFonts w:ascii="Calibri" w:hAnsi="Calibri"/>
          <w:b/>
        </w:rPr>
        <w:t>38. Individual credentials</w:t>
      </w:r>
    </w:p>
    <w:p>
      <w:pPr>
        <w:keepLines w:val="0"/>
        <w:widowControl/>
      </w:pPr>
      <w:r>
        <w:rPr>
          <w:rFonts w:ascii="Calibri" w:hAnsi="Calibri"/>
          <w:b w:val="0"/>
          <w:sz w:val="21"/>
        </w:rPr>
        <w:t>Each person uses an individual credential. Password sharing and use of Lakshmi's identity, KYC, or account are prohibited. Root and recovery access shall use dual control and be tested under Instrument 7.</w:t>
      </w:r>
    </w:p>
    <w:p>
      <w:pPr>
        <w:pStyle w:val="Heading2"/>
        <w:pageBreakBefore w:val="0"/>
      </w:pPr>
      <w:r>
        <w:rPr>
          <w:rFonts w:ascii="Calibri" w:hAnsi="Calibri"/>
          <w:b/>
        </w:rPr>
        <w:t>39. Security duties</w:t>
      </w:r>
    </w:p>
    <w:p>
      <w:pPr>
        <w:keepLines w:val="0"/>
        <w:widowControl/>
      </w:pPr>
      <w:r>
        <w:rPr>
          <w:rFonts w:ascii="Calibri" w:hAnsi="Calibri"/>
          <w:b w:val="0"/>
          <w:sz w:val="21"/>
        </w:rPr>
        <w:t>Liam shall use multifactor authentication, approved secret storage, device encryption, updates, least privilege, code review, release controls, and incident reporting. He shall not place secrets in code, prompts, logs, tickets, or public artifacts.</w:t>
      </w:r>
    </w:p>
    <w:p>
      <w:pPr>
        <w:pStyle w:val="Heading2"/>
        <w:pageBreakBefore w:val="0"/>
      </w:pPr>
      <w:r>
        <w:rPr>
          <w:rFonts w:ascii="Calibri" w:hAnsi="Calibri"/>
          <w:b/>
        </w:rPr>
        <w:t>40. Records</w:t>
      </w:r>
    </w:p>
    <w:p>
      <w:pPr>
        <w:keepLines w:val="0"/>
        <w:widowControl/>
      </w:pPr>
      <w:r>
        <w:rPr>
          <w:rFonts w:ascii="Calibri" w:hAnsi="Calibri"/>
          <w:b w:val="0"/>
          <w:sz w:val="21"/>
        </w:rPr>
        <w:t>Company work shall be committed or stored in Company-controlled systems with accurate authorship, date, review, and release records. Liam shall not delete or rewrite history to conceal provenance, a public statement, or a stale notice. Corrections shall be prospective and documented.</w:t>
      </w:r>
    </w:p>
    <w:p>
      <w:pPr>
        <w:pStyle w:val="Heading2"/>
        <w:pageBreakBefore w:val="0"/>
      </w:pPr>
      <w:r>
        <w:rPr>
          <w:rFonts w:ascii="Calibri" w:hAnsi="Calibri"/>
          <w:b/>
        </w:rPr>
        <w:t>41. Monitoring and privacy</w:t>
      </w:r>
    </w:p>
    <w:p>
      <w:pPr>
        <w:keepLines w:val="0"/>
        <w:widowControl/>
      </w:pPr>
      <w:r>
        <w:rPr>
          <w:rFonts w:ascii="Calibri" w:hAnsi="Calibri"/>
          <w:b w:val="0"/>
          <w:sz w:val="21"/>
        </w:rPr>
        <w:t>Company systems may be logged or monitored for security, compliance, and business purposes under a written policy. [COUNSEL: address consent, personal-device boundaries, school/family communications, and applicable privacy law.]</w:t>
      </w:r>
    </w:p>
    <w:p>
      <w:pPr>
        <w:pStyle w:val="Heading1"/>
        <w:pageBreakBefore w:val="0"/>
      </w:pPr>
      <w:r>
        <w:rPr>
          <w:rFonts w:ascii="Calibri" w:hAnsi="Calibri"/>
          <w:b/>
        </w:rPr>
        <w:t>Part H - End of employment</w:t>
      </w:r>
    </w:p>
    <w:p>
      <w:pPr>
        <w:pStyle w:val="Heading2"/>
        <w:pageBreakBefore w:val="0"/>
      </w:pPr>
      <w:r>
        <w:rPr>
          <w:rFonts w:ascii="Calibri" w:hAnsi="Calibri"/>
          <w:b/>
        </w:rPr>
        <w:t>42. Final pay and records</w:t>
      </w:r>
    </w:p>
    <w:p>
      <w:pPr>
        <w:keepLines w:val="0"/>
        <w:widowControl/>
      </w:pPr>
      <w:r>
        <w:rPr>
          <w:rFonts w:ascii="Calibri" w:hAnsi="Calibri"/>
          <w:b w:val="0"/>
          <w:sz w:val="21"/>
        </w:rPr>
        <w:t>On separation, the Company shall pay all wages and reimbursements when legally due, preserve payroll records, and issue required tax forms. Trust rights remain separate.</w:t>
      </w:r>
    </w:p>
    <w:p>
      <w:pPr>
        <w:pStyle w:val="Heading2"/>
        <w:pageBreakBefore w:val="0"/>
      </w:pPr>
      <w:r>
        <w:rPr>
          <w:rFonts w:ascii="Calibri" w:hAnsi="Calibri"/>
          <w:b/>
        </w:rPr>
        <w:t>43. Return and transfer</w:t>
      </w:r>
    </w:p>
    <w:p>
      <w:pPr>
        <w:keepLines w:val="0"/>
        <w:widowControl/>
      </w:pPr>
      <w:r>
        <w:rPr>
          <w:rFonts w:ascii="Calibri" w:hAnsi="Calibri"/>
          <w:b w:val="0"/>
          <w:sz w:val="21"/>
        </w:rPr>
        <w:t>Liam shall return Company property, transfer Company-controlled accounts and domains through approved provider processes, deliver Work Product and records, and stop using Company credentials. He may retain his own payroll, employment, and signed-agreement records and anything law permits.</w:t>
      </w:r>
    </w:p>
    <w:p>
      <w:pPr>
        <w:pStyle w:val="Heading2"/>
        <w:pageBreakBefore w:val="0"/>
      </w:pPr>
      <w:r>
        <w:rPr>
          <w:rFonts w:ascii="Calibri" w:hAnsi="Calibri"/>
          <w:b/>
        </w:rPr>
        <w:t>44. Access revocation</w:t>
      </w:r>
    </w:p>
    <w:p>
      <w:pPr>
        <w:keepLines w:val="0"/>
        <w:widowControl/>
      </w:pPr>
      <w:r>
        <w:rPr>
          <w:rFonts w:ascii="Calibri" w:hAnsi="Calibri"/>
          <w:b w:val="0"/>
          <w:sz w:val="21"/>
        </w:rPr>
        <w:t>The Company may promptly revoke access while preserving evidence and continuity. No person may use access revocation to withhold Liam's Trust information or defeat the Handoff Time.</w:t>
      </w:r>
    </w:p>
    <w:p>
      <w:pPr>
        <w:pStyle w:val="Heading2"/>
        <w:pageBreakBefore w:val="0"/>
      </w:pPr>
      <w:r>
        <w:rPr>
          <w:rFonts w:ascii="Calibri" w:hAnsi="Calibri"/>
          <w:b/>
        </w:rPr>
        <w:t>45. Surviving provisions</w:t>
      </w:r>
    </w:p>
    <w:p>
      <w:pPr>
        <w:keepLines w:val="0"/>
        <w:widowControl/>
      </w:pPr>
      <w:r>
        <w:rPr>
          <w:rFonts w:ascii="Calibri" w:hAnsi="Calibri"/>
          <w:b w:val="0"/>
          <w:sz w:val="21"/>
        </w:rPr>
        <w:t>Lawful confidentiality, IP ownership, further assurances, protected-disclosure rights, record preservation, and dispute provisions survive. No survival term creates unpaid ongoing labor.</w:t>
      </w:r>
    </w:p>
    <w:p>
      <w:pPr>
        <w:pStyle w:val="Heading1"/>
        <w:pageBreakBefore w:val="0"/>
      </w:pPr>
      <w:r>
        <w:rPr>
          <w:rFonts w:ascii="Calibri" w:hAnsi="Calibri"/>
          <w:b/>
        </w:rPr>
        <w:t>Part I - Disputes and general provisions</w:t>
      </w:r>
    </w:p>
    <w:p>
      <w:pPr>
        <w:pStyle w:val="Heading2"/>
        <w:pageBreakBefore w:val="0"/>
      </w:pPr>
      <w:r>
        <w:rPr>
          <w:rFonts w:ascii="Calibri" w:hAnsi="Calibri"/>
          <w:b/>
        </w:rPr>
        <w:t>46. Governing law and forum</w:t>
      </w:r>
    </w:p>
    <w:p>
      <w:pPr>
        <w:keepLines w:val="0"/>
        <w:widowControl/>
      </w:pPr>
      <w:r>
        <w:rPr>
          <w:rFonts w:ascii="Calibri" w:hAnsi="Calibri"/>
          <w:b w:val="0"/>
          <w:sz w:val="21"/>
        </w:rPr>
        <w:t>Georgia law governs except where federal law controls. [COUNSEL: select court venue, whether arbitration is appropriate for a minor, emergency injunctive relief, fee rules, jury waiver, and severability. Do not insert a mandatory arbitration or waiver without informed review.]</w:t>
      </w:r>
    </w:p>
    <w:p>
      <w:pPr>
        <w:pStyle w:val="Heading2"/>
        <w:pageBreakBefore w:val="0"/>
      </w:pPr>
      <w:r>
        <w:rPr>
          <w:rFonts w:ascii="Calibri" w:hAnsi="Calibri"/>
          <w:b/>
        </w:rPr>
        <w:t>47. Entire agreement and order of control</w:t>
      </w:r>
    </w:p>
    <w:p>
      <w:pPr>
        <w:keepLines w:val="0"/>
        <w:widowControl/>
      </w:pPr>
      <w:r>
        <w:rPr>
          <w:rFonts w:ascii="Calibri" w:hAnsi="Calibri"/>
          <w:b w:val="0"/>
          <w:sz w:val="21"/>
        </w:rPr>
        <w:t>This agreement, final schedules, Instrument 6, and incorporated policies govern employment and future Work Product. Instrument 9 governs historical IP. The Trust and Handoff instruments govern ownership of the Company interest. If documents conflict, counsel shall specify an order that preserves wage rights, Company IP, and fixed Trust economics.</w:t>
      </w:r>
    </w:p>
    <w:p>
      <w:pPr>
        <w:pStyle w:val="Heading2"/>
        <w:pageBreakBefore w:val="0"/>
      </w:pPr>
      <w:r>
        <w:rPr>
          <w:rFonts w:ascii="Calibri" w:hAnsi="Calibri"/>
          <w:b/>
        </w:rPr>
        <w:t>48. Amendment</w:t>
      </w:r>
    </w:p>
    <w:p>
      <w:pPr>
        <w:keepLines w:val="0"/>
        <w:widowControl/>
      </w:pPr>
      <w:r>
        <w:rPr>
          <w:rFonts w:ascii="Calibri" w:hAnsi="Calibri"/>
          <w:b w:val="0"/>
          <w:sz w:val="21"/>
        </w:rPr>
        <w:t>An amendment must be in a writing approved by the manager and any required member or independent reviewer. No amendment may retroactively reduce earned wages, convert gifts into wages, or alter the Trust.</w:t>
      </w:r>
    </w:p>
    <w:p>
      <w:pPr>
        <w:pStyle w:val="Heading2"/>
        <w:pageBreakBefore w:val="0"/>
      </w:pPr>
      <w:r>
        <w:rPr>
          <w:rFonts w:ascii="Calibri" w:hAnsi="Calibri"/>
          <w:b/>
        </w:rPr>
        <w:t>49. Severability and reformation</w:t>
      </w:r>
    </w:p>
    <w:p>
      <w:pPr>
        <w:keepLines w:val="0"/>
        <w:widowControl/>
      </w:pPr>
      <w:r>
        <w:rPr>
          <w:rFonts w:ascii="Calibri" w:hAnsi="Calibri"/>
          <w:b w:val="0"/>
          <w:sz w:val="21"/>
        </w:rPr>
        <w:t>An invalid term shall be narrowed only as needed to be lawful while preserving a bona fide employment relationship, confidentiality, future-work ownership, protected disclosures, and earned-wage rights.</w:t>
      </w:r>
    </w:p>
    <w:p>
      <w:pPr>
        <w:pStyle w:val="Heading2"/>
        <w:pageBreakBefore w:val="0"/>
      </w:pPr>
      <w:r>
        <w:rPr>
          <w:rFonts w:ascii="Calibri" w:hAnsi="Calibri"/>
          <w:b/>
        </w:rPr>
        <w:t>50. No waiver</w:t>
      </w:r>
    </w:p>
    <w:p>
      <w:pPr>
        <w:keepLines w:val="0"/>
        <w:widowControl/>
      </w:pPr>
      <w:r>
        <w:rPr>
          <w:rFonts w:ascii="Calibri" w:hAnsi="Calibri"/>
          <w:b w:val="0"/>
          <w:sz w:val="21"/>
        </w:rPr>
        <w:t>A failure to enforce one instance is not a waiver. No waiver is effective unless written by an authorized person, and no waiver may surrender a nonwaivable right.</w:t>
      </w:r>
    </w:p>
    <w:p>
      <w:pPr>
        <w:pStyle w:val="Heading1"/>
        <w:pageBreakBefore w:val="0"/>
      </w:pPr>
      <w:r>
        <w:rPr>
          <w:rFonts w:ascii="Calibri" w:hAnsi="Calibri"/>
          <w:b/>
        </w:rPr>
        <w:t>Part J - Parental consent and Company approval</w:t>
      </w:r>
    </w:p>
    <w:p>
      <w:pPr>
        <w:pStyle w:val="Heading2"/>
        <w:pageBreakBefore w:val="0"/>
      </w:pPr>
      <w:r>
        <w:rPr>
          <w:rFonts w:ascii="Calibri" w:hAnsi="Calibri"/>
          <w:b/>
        </w:rPr>
        <w:t>51. Parent consent</w:t>
      </w:r>
    </w:p>
    <w:p>
      <w:pPr>
        <w:keepLines w:val="0"/>
        <w:widowControl/>
      </w:pPr>
      <w:r>
        <w:rPr>
          <w:rFonts w:ascii="Calibri" w:hAnsi="Calibri"/>
          <w:b w:val="0"/>
          <w:sz w:val="21"/>
        </w:rPr>
        <w:t>Lakshmi, solely as a parent and only to the extent permitted by the operative custody and legal-decision-making orders, consents to lawful nonhazardous employment, the stated schedule, payroll onboarding, approved work systems, and the confidentiality/security rules. She agrees to support timekeeping, school compliance, independent advice, and any required work or court documentation. [COUNSEL: review the divorce/custody record and determine whether Vik Thadani's consent, joinder, or notice is required.]</w:t>
      </w:r>
    </w:p>
    <w:p>
      <w:pPr>
        <w:keepLines w:val="0"/>
        <w:widowControl/>
      </w:pPr>
      <w:r>
        <w:rPr>
          <w:rFonts w:ascii="Calibri" w:hAnsi="Calibri"/>
          <w:b w:val="0"/>
          <w:sz w:val="21"/>
        </w:rPr>
        <w:t>Her parental signature does not independently transfer Liam's historical property, waive his wage rights, make an unenforceable future assignment enforceable, or replace his post-majority confirmation.</w:t>
      </w:r>
    </w:p>
    <w:p>
      <w:pPr>
        <w:pStyle w:val="Heading2"/>
        <w:pageBreakBefore w:val="0"/>
      </w:pPr>
      <w:r>
        <w:rPr>
          <w:rFonts w:ascii="Calibri" w:hAnsi="Calibri"/>
          <w:b/>
        </w:rPr>
        <w:t>52. Manager approval</w:t>
      </w:r>
    </w:p>
    <w:p>
      <w:pPr>
        <w:keepLines w:val="0"/>
        <w:widowControl/>
      </w:pPr>
      <w:r>
        <w:rPr>
          <w:rFonts w:ascii="Calibri" w:hAnsi="Calibri"/>
          <w:b w:val="0"/>
          <w:sz w:val="21"/>
        </w:rPr>
        <w:t>Lakshmi, separately as Company manager, approves the employment only after Company/member/conflict approval and payroll setup. She accepts responsibility for supervision, time-record review, wage approval, platform limits, and youth-safety compliance.</w:t>
      </w:r>
    </w:p>
    <w:p>
      <w:pPr>
        <w:pStyle w:val="Heading2"/>
        <w:pageBreakBefore w:val="0"/>
      </w:pPr>
      <w:r>
        <w:rPr>
          <w:rFonts w:ascii="Calibri" w:hAnsi="Calibri"/>
          <w:b/>
        </w:rPr>
        <w:t>53. Conflict disclosure</w:t>
      </w:r>
    </w:p>
    <w:p>
      <w:pPr>
        <w:keepLines w:val="0"/>
        <w:widowControl/>
      </w:pPr>
      <w:r>
        <w:rPr>
          <w:rFonts w:ascii="Calibri" w:hAnsi="Calibri"/>
          <w:b w:val="0"/>
          <w:sz w:val="21"/>
        </w:rPr>
        <w:t>Because Lakshmi is parent, trustee, Company manager, and fiduciary for Liam's beneficial interest, counsel shall determine what independent approval, advice, annual review, or court involvement is necessary. The roles shall not be collapsed into one signature line.</w:t>
      </w:r>
    </w:p>
    <w:p>
      <w:pPr>
        <w:pStyle w:val="Heading1"/>
        <w:pageBreakBefore w:val="0"/>
      </w:pPr>
      <w:r>
        <w:rPr>
          <w:rFonts w:ascii="Calibri" w:hAnsi="Calibri"/>
          <w:b/>
        </w:rPr>
        <w:t>Part K - Post-majority employment and invention confirmation</w:t>
      </w:r>
    </w:p>
    <w:p>
      <w:pPr>
        <w:spacing w:before="80" w:after="160" w:line="259" w:lineRule="auto"/>
        <w:ind w:left="202" w:right="115"/>
        <w:shd w:fill="EEF5FA"/>
        <w:pBdr>
          <w:left w:val="single" w:sz="18" w:space="6" w:color="1F4D78"/>
        </w:pBdr>
      </w:pPr>
      <w:r>
        <w:rPr>
          <w:rFonts w:ascii="Calibri" w:hAnsi="Calibri"/>
          <w:b/>
          <w:sz w:val="19"/>
        </w:rPr>
        <w:t>SEPARATE FUTURE FORM - MAY BE SIGNED ONLY AFTER COUNSEL CONFIRMS LIAM HAS ATTAINED MAJORITY</w:t>
      </w:r>
    </w:p>
    <w:p>
      <w:pPr>
        <w:keepLines w:val="0"/>
        <w:widowControl/>
      </w:pPr>
      <w:r>
        <w:rPr>
          <w:rFonts w:ascii="Calibri" w:hAnsi="Calibri"/>
          <w:b w:val="0"/>
          <w:sz w:val="21"/>
        </w:rPr>
        <w:t>After independent review, Liam may:</w:t>
      </w:r>
    </w:p>
    <w:p>
      <w:pPr>
        <w:widowControl/>
        <w:numPr>
          <w:ilvl w:val="0"/>
          <w:numId w:val="71"/>
        </w:numPr>
      </w:pPr>
      <w:r>
        <w:rPr>
          <w:rFonts w:ascii="Calibri" w:hAnsi="Calibri"/>
          <w:b w:val="0"/>
          <w:sz w:val="20"/>
        </w:rPr>
        <w:t>confirm the employment agreement and authority schedule prospectively;</w:t>
      </w:r>
    </w:p>
    <w:p>
      <w:pPr>
        <w:widowControl/>
        <w:numPr>
          <w:ilvl w:val="0"/>
          <w:numId w:val="71"/>
        </w:numPr>
      </w:pPr>
      <w:r>
        <w:rPr>
          <w:rFonts w:ascii="Calibri" w:hAnsi="Calibri"/>
          <w:b w:val="0"/>
          <w:sz w:val="20"/>
        </w:rPr>
        <w:t>confirm Work Product created within actual employment and scope;</w:t>
      </w:r>
    </w:p>
    <w:p>
      <w:pPr>
        <w:widowControl/>
        <w:numPr>
          <w:ilvl w:val="0"/>
          <w:numId w:val="71"/>
        </w:numPr>
      </w:pPr>
      <w:r>
        <w:rPr>
          <w:rFonts w:ascii="Calibri" w:hAnsi="Calibri"/>
          <w:b w:val="0"/>
          <w:sz w:val="20"/>
        </w:rPr>
        <w:t>presently assign any covered future-work right that did not validly vest earlier;</w:t>
      </w:r>
    </w:p>
    <w:p>
      <w:pPr>
        <w:widowControl/>
        <w:numPr>
          <w:ilvl w:val="0"/>
          <w:numId w:val="71"/>
        </w:numPr>
      </w:pPr>
      <w:r>
        <w:rPr>
          <w:rFonts w:ascii="Calibri" w:hAnsi="Calibri"/>
          <w:b w:val="0"/>
          <w:sz w:val="20"/>
        </w:rPr>
        <w:t>confirm account and record transfers completed for Company work;</w:t>
      </w:r>
    </w:p>
    <w:p>
      <w:pPr>
        <w:widowControl/>
        <w:numPr>
          <w:ilvl w:val="0"/>
          <w:numId w:val="71"/>
        </w:numPr>
      </w:pPr>
      <w:r>
        <w:rPr>
          <w:rFonts w:ascii="Calibri" w:hAnsi="Calibri"/>
          <w:b w:val="0"/>
          <w:sz w:val="20"/>
        </w:rPr>
        <w:t>identify exceptions or disputes on a signed schedule; and</w:t>
      </w:r>
    </w:p>
    <w:p>
      <w:pPr>
        <w:widowControl/>
        <w:numPr>
          <w:ilvl w:val="0"/>
          <w:numId w:val="71"/>
        </w:numPr>
      </w:pPr>
      <w:r>
        <w:rPr>
          <w:rFonts w:ascii="Calibri" w:hAnsi="Calibri"/>
          <w:b w:val="0"/>
          <w:sz w:val="20"/>
        </w:rPr>
        <w:t>acknowledge receipt of all wages and reimbursements only if payroll records support that statement.</w:t>
      </w:r>
    </w:p>
    <w:p>
      <w:pPr>
        <w:keepLines w:val="0"/>
        <w:widowControl/>
      </w:pPr>
      <w:r>
        <w:rPr>
          <w:rFonts w:ascii="Calibri" w:hAnsi="Calibri"/>
          <w:b w:val="0"/>
          <w:sz w:val="21"/>
        </w:rPr>
        <w:t>No adult confirmation should contain a false recital, blanket wage release, nonwaivable-right waiver, or statement that all historical work was work made for hire.</w:t>
      </w:r>
    </w:p>
    <w:p>
      <w:pPr>
        <w:pStyle w:val="Heading1"/>
        <w:pageBreakBefore/>
      </w:pPr>
      <w:r>
        <w:rPr>
          <w:rFonts w:ascii="Calibri" w:hAnsi="Calibri"/>
          <w:b/>
        </w:rPr>
        <w:t>Schedule 10-A - Job description and supervision</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1F4D78"/>
            <w:tcMar>
              <w:top w:w="80" w:type="dxa"/>
              <w:bottom w:w="80" w:type="dxa"/>
              <w:start w:w="120" w:type="dxa"/>
              <w:end w:w="120" w:type="dxa"/>
            </w:tcMar>
          </w:tcPr>
          <w:p>
            <w:pPr>
              <w:pStyle w:val="TableText"/>
              <w:jc w:val="left"/>
            </w:pPr>
            <w:r>
              <w:rPr>
                <w:rFonts w:ascii="Calibri" w:hAnsi="Calibri"/>
                <w:b/>
                <w:color w:val="FFFFFF"/>
                <w:sz w:val="17"/>
              </w:rPr>
              <w:t>Field</w:t>
            </w:r>
          </w:p>
        </w:tc>
        <w:tc>
          <w:tcPr>
            <w:tcW w:type="dxa" w:w="7260"/>
            <w:vAlign w:val="center"/>
            <w:shd w:fill="1F4D78"/>
            <w:tcMar>
              <w:top w:w="80" w:type="dxa"/>
              <w:bottom w:w="80" w:type="dxa"/>
              <w:start w:w="120" w:type="dxa"/>
              <w:end w:w="120" w:type="dxa"/>
            </w:tcMar>
          </w:tcPr>
          <w:p>
            <w:pPr>
              <w:pStyle w:val="TableText"/>
              <w:jc w:val="left"/>
            </w:pPr>
            <w:r>
              <w:rPr>
                <w:rFonts w:ascii="Calibri" w:hAnsi="Calibri"/>
                <w:b/>
                <w:color w:val="FFFFFF"/>
                <w:sz w:val="17"/>
              </w:rPr>
              <w:t>Entry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Title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Founder and Product Lead (non-manager employee and limited agent)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Supervisor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Lakshmi Delbel, manager</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Work location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[FAMILY/COUNSEL]</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Ordinary schedule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[FAMILY/COUNSEL]</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Expected hours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[FAMILY/CPA]; actual contemporaneous time controls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Core product duties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Architecture, code, tests, security, documentation, release work</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Operational duties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Approved vendor/platform administration, support, incident response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Provenance duties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Commit records, AI-use records, dependency intake, release snapshots, contributor/account schedules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Authority</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Instrument 6 only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Excluded duties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Hazardous work, public-road driving, adult/KYC impersonation, reserved matters</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Review cadence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Weekly work/time review; quarterly role/authority review</w:t>
            </w:r>
          </w:p>
        </w:tc>
      </w:tr>
    </w:tbl>
    <w:p>
      <w:pPr>
        <w:spacing w:after="40"/>
      </w:pPr>
    </w:p>
    <w:p>
      <w:pPr>
        <w:pStyle w:val="Heading1"/>
        <w:pageBreakBefore/>
      </w:pPr>
      <w:r>
        <w:rPr>
          <w:rFonts w:ascii="Calibri" w:hAnsi="Calibri"/>
          <w:b/>
        </w:rPr>
        <w:t>Schedule 10-B - Compensation and payroll</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1F4D78"/>
            <w:tcMar>
              <w:top w:w="80" w:type="dxa"/>
              <w:bottom w:w="80" w:type="dxa"/>
              <w:start w:w="120" w:type="dxa"/>
              <w:end w:w="120" w:type="dxa"/>
            </w:tcMar>
          </w:tcPr>
          <w:p>
            <w:pPr>
              <w:pStyle w:val="TableText"/>
              <w:jc w:val="left"/>
            </w:pPr>
            <w:r>
              <w:rPr>
                <w:rFonts w:ascii="Calibri" w:hAnsi="Calibri"/>
                <w:b/>
                <w:color w:val="FFFFFF"/>
                <w:sz w:val="17"/>
              </w:rPr>
              <w:t>Field</w:t>
            </w:r>
          </w:p>
        </w:tc>
        <w:tc>
          <w:tcPr>
            <w:tcW w:type="dxa" w:w="7260"/>
            <w:vAlign w:val="center"/>
            <w:shd w:fill="1F4D78"/>
            <w:tcMar>
              <w:top w:w="80" w:type="dxa"/>
              <w:bottom w:w="80" w:type="dxa"/>
              <w:start w:w="120" w:type="dxa"/>
              <w:end w:w="120" w:type="dxa"/>
            </w:tcMar>
          </w:tcPr>
          <w:p>
            <w:pPr>
              <w:pStyle w:val="TableText"/>
              <w:jc w:val="left"/>
            </w:pPr>
            <w:r>
              <w:rPr>
                <w:rFonts w:ascii="Calibri" w:hAnsi="Calibri"/>
                <w:b/>
                <w:color w:val="FFFFFF"/>
                <w:sz w:val="17"/>
              </w:rPr>
              <w:t>Entry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Employment start</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[DATE - NO BACKDATING]</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Hourly wage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$[CPA/FAMILY]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Pay period/payday</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Overtime rule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Paid as law requires; preapproval policy does not excuse payment</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Payroll provider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Wage-and-hour classification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Nonexempt hourly unless counsel's written analysis establishes otherwise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Payroll classification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W-2 employee, subject to final employer-status review</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FICA/FUTA family exception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 MEMO]</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Federal and Georgia withholding/UI</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[CPA MEMO]</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Benefits/leave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[COUNSEL/CPA]</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Expense policy</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[POLICY NAME/DATE]</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Time system</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[SYSTEM]</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Workers' compensation/insurance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[COUNSEL/CPA/INSURER]</w:t>
            </w:r>
          </w:p>
        </w:tc>
      </w:tr>
    </w:tbl>
    <w:p>
      <w:pPr>
        <w:spacing w:after="40"/>
      </w:pPr>
    </w:p>
    <w:p>
      <w:pPr>
        <w:pStyle w:val="Heading1"/>
        <w:pageBreakBefore/>
      </w:pPr>
      <w:r>
        <w:rPr>
          <w:rFonts w:ascii="Calibri" w:hAnsi="Calibri"/>
          <w:b/>
        </w:rPr>
        <w:t>Schedule 10-C - Preexisting and excluded employee material</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952"/>
        <w:gridCol w:w="1148"/>
        <w:gridCol w:w="976"/>
        <w:gridCol w:w="1091"/>
        <w:gridCol w:w="1206"/>
        <w:gridCol w:w="1780"/>
        <w:gridCol w:w="1207"/>
      </w:tblGrid>
      <w:tr>
        <w:trPr>
          <w:cantSplit w:val="true"/>
          <w:tblHeader w:val="true"/>
        </w:trPr>
        <w:tc>
          <w:tcPr>
            <w:tcW w:type="dxa" w:w="1952"/>
            <w:vAlign w:val="center"/>
            <w:shd w:fill="1F4D78"/>
            <w:tcMar>
              <w:top w:w="80" w:type="dxa"/>
              <w:bottom w:w="80" w:type="dxa"/>
              <w:start w:w="120" w:type="dxa"/>
              <w:end w:w="120" w:type="dxa"/>
            </w:tcMar>
          </w:tcPr>
          <w:p>
            <w:pPr>
              <w:pStyle w:val="TableText"/>
              <w:jc w:val="left"/>
            </w:pPr>
            <w:r>
              <w:rPr>
                <w:rFonts w:ascii="Calibri" w:hAnsi="Calibri"/>
                <w:b/>
                <w:color w:val="FFFFFF"/>
                <w:sz w:val="17"/>
              </w:rPr>
              <w:t>Item/repository</w:t>
            </w:r>
          </w:p>
        </w:tc>
        <w:tc>
          <w:tcPr>
            <w:tcW w:type="dxa" w:w="1148"/>
            <w:vAlign w:val="center"/>
            <w:shd w:fill="1F4D78"/>
            <w:tcMar>
              <w:top w:w="80" w:type="dxa"/>
              <w:bottom w:w="80" w:type="dxa"/>
              <w:start w:w="120" w:type="dxa"/>
              <w:end w:w="120" w:type="dxa"/>
            </w:tcMar>
          </w:tcPr>
          <w:p>
            <w:pPr>
              <w:pStyle w:val="TableText"/>
              <w:jc w:val="left"/>
            </w:pPr>
            <w:r>
              <w:rPr>
                <w:rFonts w:ascii="Calibri" w:hAnsi="Calibri"/>
                <w:b/>
                <w:color w:val="FFFFFF"/>
                <w:sz w:val="17"/>
              </w:rPr>
              <w:t>Owner</w:t>
            </w:r>
          </w:p>
        </w:tc>
        <w:tc>
          <w:tcPr>
            <w:tcW w:type="dxa" w:w="976"/>
            <w:vAlign w:val="center"/>
            <w:shd w:fill="1F4D78"/>
            <w:tcMar>
              <w:top w:w="80" w:type="dxa"/>
              <w:bottom w:w="80" w:type="dxa"/>
              <w:start w:w="120" w:type="dxa"/>
              <w:end w:w="120" w:type="dxa"/>
            </w:tcMar>
          </w:tcPr>
          <w:p>
            <w:pPr>
              <w:pStyle w:val="TableText"/>
              <w:jc w:val="left"/>
            </w:pPr>
            <w:r>
              <w:rPr>
                <w:rFonts w:ascii="Calibri" w:hAnsi="Calibri"/>
                <w:b/>
                <w:color w:val="FFFFFF"/>
                <w:sz w:val="17"/>
              </w:rPr>
              <w:t>Date range</w:t>
            </w:r>
          </w:p>
        </w:tc>
        <w:tc>
          <w:tcPr>
            <w:tcW w:type="dxa" w:w="1091"/>
            <w:vAlign w:val="center"/>
            <w:shd w:fill="1F4D78"/>
            <w:tcMar>
              <w:top w:w="80" w:type="dxa"/>
              <w:bottom w:w="80" w:type="dxa"/>
              <w:start w:w="120" w:type="dxa"/>
              <w:end w:w="120" w:type="dxa"/>
            </w:tcMar>
          </w:tcPr>
          <w:p>
            <w:pPr>
              <w:pStyle w:val="TableText"/>
              <w:jc w:val="left"/>
            </w:pPr>
            <w:r>
              <w:rPr>
                <w:rFonts w:ascii="Calibri" w:hAnsi="Calibri"/>
                <w:b/>
                <w:color w:val="FFFFFF"/>
                <w:sz w:val="17"/>
              </w:rPr>
              <w:t>License/encumbrance</w:t>
            </w:r>
          </w:p>
        </w:tc>
        <w:tc>
          <w:tcPr>
            <w:tcW w:type="dxa" w:w="1206"/>
            <w:vAlign w:val="center"/>
            <w:shd w:fill="1F4D78"/>
            <w:tcMar>
              <w:top w:w="80" w:type="dxa"/>
              <w:bottom w:w="80" w:type="dxa"/>
              <w:start w:w="120" w:type="dxa"/>
              <w:end w:w="120" w:type="dxa"/>
            </w:tcMar>
          </w:tcPr>
          <w:p>
            <w:pPr>
              <w:pStyle w:val="TableText"/>
              <w:jc w:val="left"/>
            </w:pPr>
            <w:r>
              <w:rPr>
                <w:rFonts w:ascii="Calibri" w:hAnsi="Calibri"/>
                <w:b/>
                <w:color w:val="FFFFFF"/>
                <w:sz w:val="17"/>
              </w:rPr>
              <w:t>Permitted Company use</w:t>
            </w:r>
          </w:p>
        </w:tc>
        <w:tc>
          <w:tcPr>
            <w:tcW w:type="dxa" w:w="1780"/>
            <w:vAlign w:val="center"/>
            <w:shd w:fill="1F4D78"/>
            <w:tcMar>
              <w:top w:w="80" w:type="dxa"/>
              <w:bottom w:w="80" w:type="dxa"/>
              <w:start w:w="120" w:type="dxa"/>
              <w:end w:w="120" w:type="dxa"/>
            </w:tcMar>
          </w:tcPr>
          <w:p>
            <w:pPr>
              <w:pStyle w:val="TableText"/>
              <w:jc w:val="left"/>
            </w:pPr>
            <w:r>
              <w:rPr>
                <w:rFonts w:ascii="Calibri" w:hAnsi="Calibri"/>
                <w:b/>
                <w:color w:val="FFFFFF"/>
                <w:sz w:val="17"/>
              </w:rPr>
              <w:t>Incorporated into Company work?</w:t>
            </w:r>
          </w:p>
        </w:tc>
        <w:tc>
          <w:tcPr>
            <w:tcW w:type="dxa" w:w="1207"/>
            <w:vAlign w:val="center"/>
            <w:shd w:fill="1F4D78"/>
            <w:tcMar>
              <w:top w:w="80" w:type="dxa"/>
              <w:bottom w:w="80" w:type="dxa"/>
              <w:start w:w="120" w:type="dxa"/>
              <w:end w:w="120" w:type="dxa"/>
            </w:tcMar>
          </w:tcPr>
          <w:p>
            <w:pPr>
              <w:pStyle w:val="TableText"/>
              <w:jc w:val="left"/>
            </w:pPr>
            <w:r>
              <w:rPr>
                <w:rFonts w:ascii="Calibri" w:hAnsi="Calibri"/>
                <w:b/>
                <w:color w:val="FFFFFF"/>
                <w:sz w:val="17"/>
              </w:rPr>
              <w:t>Resolution</w:t>
            </w:r>
          </w:p>
        </w:tc>
      </w:tr>
      <w:tr>
        <w:trPr>
          <w:cantSplit w:val="true"/>
        </w:trPr>
        <w:tc>
          <w:tcPr>
            <w:tcW w:type="dxa" w:w="1952"/>
            <w:vAlign w:val="top"/>
            <w:tcMar>
              <w:top w:w="80" w:type="dxa"/>
              <w:bottom w:w="80" w:type="dxa"/>
              <w:start w:w="120" w:type="dxa"/>
              <w:end w:w="120" w:type="dxa"/>
            </w:tcMar>
          </w:tcPr>
          <w:p>
            <w:pPr>
              <w:pStyle w:val="TableText"/>
              <w:jc w:val="left"/>
            </w:pPr>
            <w:r>
              <w:rPr>
                <w:rFonts w:ascii="Calibri" w:hAnsi="Calibri"/>
                <w:b w:val="0"/>
                <w:sz w:val="18"/>
              </w:rPr>
              <w:t>Assigned Assets under Instrument 9</w:t>
            </w:r>
          </w:p>
        </w:tc>
        <w:tc>
          <w:tcPr>
            <w:tcW w:type="dxa" w:w="1148"/>
            <w:vAlign w:val="top"/>
            <w:tcMar>
              <w:top w:w="80" w:type="dxa"/>
              <w:bottom w:w="80" w:type="dxa"/>
              <w:start w:w="120" w:type="dxa"/>
              <w:end w:w="120" w:type="dxa"/>
            </w:tcMar>
          </w:tcPr>
          <w:p>
            <w:pPr>
              <w:pStyle w:val="TableText"/>
              <w:jc w:val="left"/>
            </w:pPr>
            <w:r>
              <w:rPr>
                <w:rFonts w:ascii="Calibri" w:hAnsi="Calibri"/>
                <w:b w:val="0"/>
                <w:sz w:val="18"/>
              </w:rPr>
              <w:t>[TITLE UNDER REVIEW]</w:t>
            </w:r>
          </w:p>
        </w:tc>
        <w:tc>
          <w:tcPr>
            <w:tcW w:type="dxa" w:w="976"/>
            <w:vAlign w:val="top"/>
            <w:tcMar>
              <w:top w:w="80" w:type="dxa"/>
              <w:bottom w:w="80" w:type="dxa"/>
              <w:start w:w="120" w:type="dxa"/>
              <w:end w:w="120" w:type="dxa"/>
            </w:tcMar>
          </w:tcPr>
          <w:p>
            <w:pPr>
              <w:pStyle w:val="TableText"/>
              <w:jc w:val="left"/>
            </w:pPr>
            <w:r>
              <w:rPr>
                <w:rFonts w:ascii="Calibri" w:hAnsi="Calibri"/>
                <w:b w:val="0"/>
                <w:sz w:val="18"/>
              </w:rPr>
              <w:t>Historical cutoff</w:t>
            </w:r>
          </w:p>
        </w:tc>
        <w:tc>
          <w:tcPr>
            <w:tcW w:type="dxa" w:w="1091"/>
            <w:vAlign w:val="top"/>
            <w:tcMar>
              <w:top w:w="80" w:type="dxa"/>
              <w:bottom w:w="80" w:type="dxa"/>
              <w:start w:w="120" w:type="dxa"/>
              <w:end w:w="120" w:type="dxa"/>
            </w:tcMar>
          </w:tcPr>
          <w:p>
            <w:pPr>
              <w:pStyle w:val="TableText"/>
              <w:jc w:val="left"/>
            </w:pPr>
            <w:r>
              <w:rPr>
                <w:rFonts w:ascii="Calibri" w:hAnsi="Calibri"/>
                <w:b w:val="0"/>
                <w:sz w:val="18"/>
              </w:rPr>
              <w:t>Instrument 9</w:t>
            </w:r>
          </w:p>
        </w:tc>
        <w:tc>
          <w:tcPr>
            <w:tcW w:type="dxa" w:w="1206"/>
            <w:vAlign w:val="top"/>
            <w:tcMar>
              <w:top w:w="80" w:type="dxa"/>
              <w:bottom w:w="80" w:type="dxa"/>
              <w:start w:w="120" w:type="dxa"/>
              <w:end w:w="120" w:type="dxa"/>
            </w:tcMar>
          </w:tcPr>
          <w:p>
            <w:pPr>
              <w:pStyle w:val="TableText"/>
              <w:jc w:val="left"/>
            </w:pPr>
            <w:r>
              <w:rPr>
                <w:rFonts w:ascii="Calibri" w:hAnsi="Calibri"/>
                <w:b w:val="0"/>
                <w:sz w:val="18"/>
              </w:rPr>
              <w:t>As assigned/licensed</w:t>
            </w:r>
          </w:p>
        </w:tc>
        <w:tc>
          <w:tcPr>
            <w:tcW w:type="dxa" w:w="1780"/>
            <w:vAlign w:val="top"/>
            <w:tcMar>
              <w:top w:w="80" w:type="dxa"/>
              <w:bottom w:w="80" w:type="dxa"/>
              <w:start w:w="120" w:type="dxa"/>
              <w:end w:w="120" w:type="dxa"/>
            </w:tcMar>
          </w:tcPr>
          <w:p>
            <w:pPr>
              <w:pStyle w:val="TableText"/>
              <w:jc w:val="left"/>
            </w:pPr>
            <w:r>
              <w:rPr>
                <w:rFonts w:ascii="Calibri" w:hAnsi="Calibri"/>
                <w:b w:val="0"/>
                <w:sz w:val="18"/>
              </w:rPr>
              <w:t>Yes</w:t>
            </w:r>
          </w:p>
        </w:tc>
        <w:tc>
          <w:tcPr>
            <w:tcW w:type="dxa" w:w="1207"/>
            <w:vAlign w:val="top"/>
            <w:tcMar>
              <w:top w:w="80" w:type="dxa"/>
              <w:bottom w:w="80" w:type="dxa"/>
              <w:start w:w="120" w:type="dxa"/>
              <w:end w:w="120" w:type="dxa"/>
            </w:tcMar>
          </w:tcPr>
          <w:p>
            <w:pPr>
              <w:pStyle w:val="TableText"/>
              <w:jc w:val="left"/>
            </w:pPr>
            <w:r>
              <w:rPr>
                <w:rFonts w:ascii="Calibri" w:hAnsi="Calibri"/>
                <w:b w:val="0"/>
                <w:sz w:val="18"/>
              </w:rPr>
              <w:t>Complete Instrument 9</w:t>
            </w:r>
          </w:p>
        </w:tc>
      </w:tr>
      <w:tr>
        <w:trPr>
          <w:cantSplit w:val="true"/>
        </w:trPr>
        <w:tc>
          <w:tcPr>
            <w:tcW w:type="dxa" w:w="1952"/>
            <w:vAlign w:val="top"/>
            <w:tcMar>
              <w:top w:w="80" w:type="dxa"/>
              <w:bottom w:w="80" w:type="dxa"/>
              <w:start w:w="120" w:type="dxa"/>
              <w:end w:w="120" w:type="dxa"/>
            </w:tcMar>
          </w:tcPr>
          <w:p>
            <w:pPr>
              <w:pStyle w:val="TableText"/>
              <w:jc w:val="left"/>
            </w:pPr>
            <w:r>
              <w:rPr>
                <w:rFonts w:ascii="Calibri" w:hAnsi="Calibri"/>
                <w:b w:val="0"/>
                <w:sz w:val="18"/>
              </w:rPr>
              <w:t>Personal learning/project material</w:t>
            </w:r>
          </w:p>
        </w:tc>
        <w:tc>
          <w:tcPr>
            <w:tcW w:type="dxa" w:w="1148"/>
            <w:vAlign w:val="top"/>
            <w:tcMar>
              <w:top w:w="80" w:type="dxa"/>
              <w:bottom w:w="80" w:type="dxa"/>
              <w:start w:w="120" w:type="dxa"/>
              <w:end w:w="120" w:type="dxa"/>
            </w:tcMar>
          </w:tcPr>
          <w:p>
            <w:pPr>
              <w:pStyle w:val="TableText"/>
              <w:jc w:val="left"/>
            </w:pPr>
            <w:r>
              <w:rPr>
                <w:rFonts w:ascii="Calibri" w:hAnsi="Calibri"/>
                <w:b w:val="0"/>
                <w:sz w:val="18"/>
              </w:rPr>
              <w:t>[LIAM/OTHER]</w:t>
            </w:r>
          </w:p>
        </w:tc>
        <w:tc>
          <w:tcPr>
            <w:tcW w:type="dxa" w:w="976"/>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091"/>
            <w:vAlign w:val="top"/>
            <w:tcMar>
              <w:top w:w="80" w:type="dxa"/>
              <w:bottom w:w="80" w:type="dxa"/>
              <w:start w:w="120" w:type="dxa"/>
              <w:end w:w="120" w:type="dxa"/>
            </w:tcMar>
          </w:tcPr>
          <w:p>
            <w:pPr>
              <w:pStyle w:val="TableText"/>
              <w:jc w:val="left"/>
            </w:pPr>
            <w:r>
              <w:rPr>
                <w:rFonts w:ascii="Calibri" w:hAnsi="Calibri"/>
                <w:b w:val="0"/>
                <w:sz w:val="18"/>
              </w:rPr>
              <w:t>[TERMS]</w:t>
            </w:r>
          </w:p>
        </w:tc>
        <w:tc>
          <w:tcPr>
            <w:tcW w:type="dxa" w:w="1206"/>
            <w:vAlign w:val="top"/>
            <w:tcMar>
              <w:top w:w="80" w:type="dxa"/>
              <w:bottom w:w="80" w:type="dxa"/>
              <w:start w:w="120" w:type="dxa"/>
              <w:end w:w="120" w:type="dxa"/>
            </w:tcMar>
          </w:tcPr>
          <w:p>
            <w:pPr>
              <w:pStyle w:val="TableText"/>
              <w:jc w:val="left"/>
            </w:pPr>
            <w:r>
              <w:rPr>
                <w:rFonts w:ascii="Calibri" w:hAnsi="Calibri"/>
                <w:b w:val="0"/>
                <w:sz w:val="18"/>
              </w:rPr>
              <w:t>[NONE/LIMITED]</w:t>
            </w:r>
          </w:p>
        </w:tc>
        <w:tc>
          <w:tcPr>
            <w:tcW w:type="dxa" w:w="1780"/>
            <w:vAlign w:val="top"/>
            <w:tcMar>
              <w:top w:w="80" w:type="dxa"/>
              <w:bottom w:w="80" w:type="dxa"/>
              <w:start w:w="120" w:type="dxa"/>
              <w:end w:w="120" w:type="dxa"/>
            </w:tcMar>
          </w:tcPr>
          <w:p>
            <w:pPr>
              <w:pStyle w:val="TableText"/>
              <w:jc w:val="left"/>
            </w:pPr>
            <w:r>
              <w:rPr>
                <w:rFonts w:ascii="Calibri" w:hAnsi="Calibri"/>
                <w:b w:val="0"/>
                <w:sz w:val="18"/>
              </w:rPr>
              <w:t>[YES/NO]</w:t>
            </w:r>
          </w:p>
        </w:tc>
        <w:tc>
          <w:tcPr>
            <w:tcW w:type="dxa" w:w="1207"/>
            <w:vAlign w:val="top"/>
            <w:tcMar>
              <w:top w:w="80" w:type="dxa"/>
              <w:bottom w:w="80" w:type="dxa"/>
              <w:start w:w="120" w:type="dxa"/>
              <w:end w:w="120" w:type="dxa"/>
            </w:tcMar>
          </w:tcPr>
          <w:p>
            <w:pPr>
              <w:pStyle w:val="TableText"/>
              <w:jc w:val="left"/>
            </w:pPr>
            <w:r>
              <w:rPr>
                <w:rFonts w:ascii="Calibri" w:hAnsi="Calibri"/>
                <w:b w:val="0"/>
                <w:sz w:val="18"/>
              </w:rPr>
              <w:t>[ACTION]</w:t>
            </w:r>
          </w:p>
        </w:tc>
      </w:tr>
      <w:tr>
        <w:trPr>
          <w:cantSplit w:val="true"/>
        </w:trPr>
        <w:tc>
          <w:tcPr>
            <w:tcW w:type="dxa" w:w="1952"/>
            <w:vAlign w:val="top"/>
            <w:tcMar>
              <w:top w:w="80" w:type="dxa"/>
              <w:bottom w:w="80" w:type="dxa"/>
              <w:start w:w="120" w:type="dxa"/>
              <w:end w:w="120" w:type="dxa"/>
            </w:tcMar>
          </w:tcPr>
          <w:p>
            <w:pPr>
              <w:pStyle w:val="TableText"/>
              <w:jc w:val="left"/>
            </w:pPr>
            <w:r>
              <w:rPr>
                <w:rFonts w:ascii="Calibri" w:hAnsi="Calibri"/>
                <w:b w:val="0"/>
                <w:sz w:val="18"/>
              </w:rPr>
              <w:t>School/class material</w:t>
            </w:r>
          </w:p>
        </w:tc>
        <w:tc>
          <w:tcPr>
            <w:tcW w:type="dxa" w:w="1148"/>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76"/>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091"/>
            <w:vAlign w:val="top"/>
            <w:tcMar>
              <w:top w:w="80" w:type="dxa"/>
              <w:bottom w:w="80" w:type="dxa"/>
              <w:start w:w="120" w:type="dxa"/>
              <w:end w:w="120" w:type="dxa"/>
            </w:tcMar>
          </w:tcPr>
          <w:p>
            <w:pPr>
              <w:pStyle w:val="TableText"/>
              <w:jc w:val="left"/>
            </w:pPr>
            <w:r>
              <w:rPr>
                <w:rFonts w:ascii="Calibri" w:hAnsi="Calibri"/>
                <w:b w:val="0"/>
                <w:sz w:val="18"/>
              </w:rPr>
              <w:t>[SCHOOL TERMS]</w:t>
            </w:r>
          </w:p>
        </w:tc>
        <w:tc>
          <w:tcPr>
            <w:tcW w:type="dxa" w:w="1206"/>
            <w:vAlign w:val="top"/>
            <w:tcMar>
              <w:top w:w="80" w:type="dxa"/>
              <w:bottom w:w="80" w:type="dxa"/>
              <w:start w:w="120" w:type="dxa"/>
              <w:end w:w="120" w:type="dxa"/>
            </w:tcMar>
          </w:tcPr>
          <w:p>
            <w:pPr>
              <w:pStyle w:val="TableText"/>
              <w:jc w:val="left"/>
            </w:pPr>
            <w:r>
              <w:rPr>
                <w:rFonts w:ascii="Calibri" w:hAnsi="Calibri"/>
                <w:b w:val="0"/>
                <w:sz w:val="18"/>
              </w:rPr>
              <w:t>[NONE/LIMITED]</w:t>
            </w:r>
          </w:p>
        </w:tc>
        <w:tc>
          <w:tcPr>
            <w:tcW w:type="dxa" w:w="1780"/>
            <w:vAlign w:val="top"/>
            <w:tcMar>
              <w:top w:w="80" w:type="dxa"/>
              <w:bottom w:w="80" w:type="dxa"/>
              <w:start w:w="120" w:type="dxa"/>
              <w:end w:w="120" w:type="dxa"/>
            </w:tcMar>
          </w:tcPr>
          <w:p>
            <w:pPr>
              <w:pStyle w:val="TableText"/>
              <w:jc w:val="left"/>
            </w:pPr>
            <w:r>
              <w:rPr>
                <w:rFonts w:ascii="Calibri" w:hAnsi="Calibri"/>
                <w:b w:val="0"/>
                <w:sz w:val="18"/>
              </w:rPr>
              <w:t>[YES/NO]</w:t>
            </w:r>
          </w:p>
        </w:tc>
        <w:tc>
          <w:tcPr>
            <w:tcW w:type="dxa" w:w="1207"/>
            <w:vAlign w:val="top"/>
            <w:tcMar>
              <w:top w:w="80" w:type="dxa"/>
              <w:bottom w:w="80" w:type="dxa"/>
              <w:start w:w="120" w:type="dxa"/>
              <w:end w:w="120" w:type="dxa"/>
            </w:tcMar>
          </w:tcPr>
          <w:p>
            <w:pPr>
              <w:pStyle w:val="TableText"/>
              <w:jc w:val="left"/>
            </w:pPr>
            <w:r>
              <w:rPr>
                <w:rFonts w:ascii="Calibri" w:hAnsi="Calibri"/>
                <w:b w:val="0"/>
                <w:sz w:val="18"/>
              </w:rPr>
              <w:t>[ACTION]</w:t>
            </w:r>
          </w:p>
        </w:tc>
      </w:tr>
      <w:tr>
        <w:trPr>
          <w:cantSplit w:val="true"/>
        </w:trPr>
        <w:tc>
          <w:tcPr>
            <w:tcW w:type="dxa" w:w="1952"/>
            <w:vAlign w:val="top"/>
            <w:tcMar>
              <w:top w:w="80" w:type="dxa"/>
              <w:bottom w:w="80" w:type="dxa"/>
              <w:start w:w="120" w:type="dxa"/>
              <w:end w:w="120" w:type="dxa"/>
            </w:tcMar>
          </w:tcPr>
          <w:p>
            <w:pPr>
              <w:pStyle w:val="TableText"/>
              <w:jc w:val="left"/>
            </w:pPr>
            <w:r>
              <w:rPr>
                <w:rFonts w:ascii="Calibri" w:hAnsi="Calibri"/>
                <w:b w:val="0"/>
                <w:sz w:val="18"/>
              </w:rPr>
              <w:t>Third-party/predecessor material</w:t>
            </w:r>
          </w:p>
        </w:tc>
        <w:tc>
          <w:tcPr>
            <w:tcW w:type="dxa" w:w="1148"/>
            <w:vAlign w:val="top"/>
            <w:tcMar>
              <w:top w:w="80" w:type="dxa"/>
              <w:bottom w:w="80" w:type="dxa"/>
              <w:start w:w="120" w:type="dxa"/>
              <w:end w:w="120" w:type="dxa"/>
            </w:tcMar>
          </w:tcPr>
          <w:p>
            <w:pPr>
              <w:pStyle w:val="TableText"/>
              <w:jc w:val="left"/>
            </w:pPr>
            <w:r>
              <w:rPr>
                <w:rFonts w:ascii="Calibri" w:hAnsi="Calibri"/>
                <w:b w:val="0"/>
                <w:sz w:val="18"/>
              </w:rPr>
              <w:t>Schedule 9-C/9-G</w:t>
            </w:r>
          </w:p>
        </w:tc>
        <w:tc>
          <w:tcPr>
            <w:tcW w:type="dxa" w:w="976"/>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091"/>
            <w:vAlign w:val="top"/>
            <w:tcMar>
              <w:top w:w="80" w:type="dxa"/>
              <w:bottom w:w="80" w:type="dxa"/>
              <w:start w:w="120" w:type="dxa"/>
              <w:end w:w="120" w:type="dxa"/>
            </w:tcMar>
          </w:tcPr>
          <w:p>
            <w:pPr>
              <w:pStyle w:val="TableText"/>
              <w:jc w:val="left"/>
            </w:pPr>
            <w:r>
              <w:rPr>
                <w:rFonts w:ascii="Calibri" w:hAnsi="Calibri"/>
                <w:b w:val="0"/>
                <w:sz w:val="18"/>
              </w:rPr>
              <w:t>[LICENSE]</w:t>
            </w:r>
          </w:p>
        </w:tc>
        <w:tc>
          <w:tcPr>
            <w:tcW w:type="dxa" w:w="1206"/>
            <w:vAlign w:val="top"/>
            <w:tcMar>
              <w:top w:w="80" w:type="dxa"/>
              <w:bottom w:w="80" w:type="dxa"/>
              <w:start w:w="120" w:type="dxa"/>
              <w:end w:w="120" w:type="dxa"/>
            </w:tcMar>
          </w:tcPr>
          <w:p>
            <w:pPr>
              <w:pStyle w:val="TableText"/>
              <w:jc w:val="left"/>
            </w:pPr>
            <w:r>
              <w:rPr>
                <w:rFonts w:ascii="Calibri" w:hAnsi="Calibri"/>
                <w:b w:val="0"/>
                <w:sz w:val="18"/>
              </w:rPr>
              <w:t>As license permits</w:t>
            </w:r>
          </w:p>
        </w:tc>
        <w:tc>
          <w:tcPr>
            <w:tcW w:type="dxa" w:w="1780"/>
            <w:vAlign w:val="top"/>
            <w:tcMar>
              <w:top w:w="80" w:type="dxa"/>
              <w:bottom w:w="80" w:type="dxa"/>
              <w:start w:w="120" w:type="dxa"/>
              <w:end w:w="120" w:type="dxa"/>
            </w:tcMar>
          </w:tcPr>
          <w:p>
            <w:pPr>
              <w:pStyle w:val="TableText"/>
              <w:jc w:val="left"/>
            </w:pPr>
            <w:r>
              <w:rPr>
                <w:rFonts w:ascii="Calibri" w:hAnsi="Calibri"/>
                <w:b w:val="0"/>
                <w:sz w:val="18"/>
              </w:rPr>
              <w:t>[YES/NO]</w:t>
            </w:r>
          </w:p>
        </w:tc>
        <w:tc>
          <w:tcPr>
            <w:tcW w:type="dxa" w:w="1207"/>
            <w:vAlign w:val="top"/>
            <w:tcMar>
              <w:top w:w="80" w:type="dxa"/>
              <w:bottom w:w="80" w:type="dxa"/>
              <w:start w:w="120" w:type="dxa"/>
              <w:end w:w="120" w:type="dxa"/>
            </w:tcMar>
          </w:tcPr>
          <w:p>
            <w:pPr>
              <w:pStyle w:val="TableText"/>
              <w:jc w:val="left"/>
            </w:pPr>
            <w:r>
              <w:rPr>
                <w:rFonts w:ascii="Calibri" w:hAnsi="Calibri"/>
                <w:b w:val="0"/>
                <w:sz w:val="18"/>
              </w:rPr>
              <w:t>[ACTION]</w:t>
            </w:r>
          </w:p>
        </w:tc>
      </w:tr>
      <w:tr>
        <w:trPr>
          <w:cantSplit w:val="true"/>
        </w:trPr>
        <w:tc>
          <w:tcPr>
            <w:tcW w:type="dxa" w:w="1952"/>
            <w:vAlign w:val="top"/>
            <w:tcMar>
              <w:top w:w="80" w:type="dxa"/>
              <w:bottom w:w="80" w:type="dxa"/>
              <w:start w:w="120" w:type="dxa"/>
              <w:end w:w="120" w:type="dxa"/>
            </w:tcMar>
          </w:tcPr>
          <w:p>
            <w:pPr>
              <w:pStyle w:val="TableText"/>
              <w:jc w:val="left"/>
            </w:pPr>
            <w:r>
              <w:rPr>
                <w:rFonts w:ascii="Calibri" w:hAnsi="Calibri"/>
                <w:b w:val="0"/>
                <w:sz w:val="18"/>
              </w:rPr>
              <w:t>Other exclusion</w:t>
            </w:r>
          </w:p>
        </w:tc>
        <w:tc>
          <w:tcPr>
            <w:tcW w:type="dxa" w:w="1148"/>
            <w:vAlign w:val="top"/>
            <w:tcMar>
              <w:top w:w="80" w:type="dxa"/>
              <w:bottom w:w="80" w:type="dxa"/>
              <w:start w:w="120" w:type="dxa"/>
              <w:end w:w="120" w:type="dxa"/>
            </w:tcMar>
          </w:tcPr>
          <w:p>
            <w:pPr>
              <w:pStyle w:val="TableText"/>
              <w:jc w:val="left"/>
            </w:pPr>
            <w:r>
              <w:rPr>
                <w:rFonts w:ascii="Calibri" w:hAnsi="Calibri"/>
                <w:b w:val="0"/>
                <w:sz w:val="18"/>
              </w:rPr>
              <w:t>[ADD]</w:t>
            </w:r>
          </w:p>
        </w:tc>
        <w:tc>
          <w:tcPr>
            <w:tcW w:type="dxa" w:w="976"/>
            <w:vAlign w:val="top"/>
            <w:tcMar>
              <w:top w:w="80" w:type="dxa"/>
              <w:bottom w:w="80" w:type="dxa"/>
              <w:start w:w="120" w:type="dxa"/>
              <w:end w:w="120" w:type="dxa"/>
            </w:tcMar>
          </w:tcPr>
          <w:p>
            <w:pPr>
              <w:pStyle w:val="TableText"/>
              <w:jc w:val="left"/>
            </w:pPr>
            <w:r>
              <w:rPr>
                <w:rFonts w:ascii="Calibri" w:hAnsi="Calibri"/>
                <w:b w:val="0"/>
                <w:sz w:val="18"/>
              </w:rPr>
              <w:t>[DATES]</w:t>
            </w:r>
          </w:p>
        </w:tc>
        <w:tc>
          <w:tcPr>
            <w:tcW w:type="dxa" w:w="1091"/>
            <w:vAlign w:val="top"/>
            <w:tcMar>
              <w:top w:w="80" w:type="dxa"/>
              <w:bottom w:w="80" w:type="dxa"/>
              <w:start w:w="120" w:type="dxa"/>
              <w:end w:w="120" w:type="dxa"/>
            </w:tcMar>
          </w:tcPr>
          <w:p>
            <w:pPr>
              <w:pStyle w:val="TableText"/>
              <w:jc w:val="left"/>
            </w:pPr>
            <w:r>
              <w:rPr>
                <w:rFonts w:ascii="Calibri" w:hAnsi="Calibri"/>
                <w:b w:val="0"/>
                <w:sz w:val="18"/>
              </w:rPr>
              <w:t>[TERMS]</w:t>
            </w:r>
          </w:p>
        </w:tc>
        <w:tc>
          <w:tcPr>
            <w:tcW w:type="dxa" w:w="1206"/>
            <w:vAlign w:val="top"/>
            <w:tcMar>
              <w:top w:w="80" w:type="dxa"/>
              <w:bottom w:w="80" w:type="dxa"/>
              <w:start w:w="120" w:type="dxa"/>
              <w:end w:w="120" w:type="dxa"/>
            </w:tcMar>
          </w:tcPr>
          <w:p>
            <w:pPr>
              <w:pStyle w:val="TableText"/>
              <w:jc w:val="left"/>
            </w:pPr>
            <w:r>
              <w:rPr>
                <w:rFonts w:ascii="Calibri" w:hAnsi="Calibri"/>
                <w:b w:val="0"/>
                <w:sz w:val="18"/>
              </w:rPr>
              <w:t>[SCOPE]</w:t>
            </w:r>
          </w:p>
        </w:tc>
        <w:tc>
          <w:tcPr>
            <w:tcW w:type="dxa" w:w="1780"/>
            <w:vAlign w:val="top"/>
            <w:tcMar>
              <w:top w:w="80" w:type="dxa"/>
              <w:bottom w:w="80" w:type="dxa"/>
              <w:start w:w="120" w:type="dxa"/>
              <w:end w:w="120" w:type="dxa"/>
            </w:tcMar>
          </w:tcPr>
          <w:p>
            <w:pPr>
              <w:pStyle w:val="TableText"/>
              <w:jc w:val="left"/>
            </w:pPr>
            <w:r>
              <w:rPr>
                <w:rFonts w:ascii="Calibri" w:hAnsi="Calibri"/>
                <w:b w:val="0"/>
                <w:sz w:val="18"/>
              </w:rPr>
              <w:t>[YES/NO]</w:t>
            </w:r>
          </w:p>
        </w:tc>
        <w:tc>
          <w:tcPr>
            <w:tcW w:type="dxa" w:w="1207"/>
            <w:vAlign w:val="top"/>
            <w:tcMar>
              <w:top w:w="80" w:type="dxa"/>
              <w:bottom w:w="80" w:type="dxa"/>
              <w:start w:w="120" w:type="dxa"/>
              <w:end w:w="120" w:type="dxa"/>
            </w:tcMar>
          </w:tcPr>
          <w:p>
            <w:pPr>
              <w:pStyle w:val="TableText"/>
              <w:jc w:val="left"/>
            </w:pPr>
            <w:r>
              <w:rPr>
                <w:rFonts w:ascii="Calibri" w:hAnsi="Calibri"/>
                <w:b w:val="0"/>
                <w:sz w:val="18"/>
              </w:rPr>
              <w:t>[ACTION]</w:t>
            </w:r>
          </w:p>
        </w:tc>
      </w:tr>
    </w:tbl>
    <w:p>
      <w:pPr>
        <w:spacing w:after="40"/>
      </w:pPr>
    </w:p>
    <w:p>
      <w:pPr>
        <w:pStyle w:val="Heading1"/>
        <w:pageBreakBefore/>
      </w:pPr>
      <w:r>
        <w:rPr>
          <w:rFonts w:ascii="Calibri" w:hAnsi="Calibri"/>
          <w:b/>
        </w:rPr>
        <w:t>Schedule 10-D - Approved open-source and AI policy references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651"/>
        <w:gridCol w:w="994"/>
        <w:gridCol w:w="1822"/>
        <w:gridCol w:w="2651"/>
        <w:gridCol w:w="1242"/>
      </w:tblGrid>
      <w:tr>
        <w:trPr>
          <w:cantSplit w:val="true"/>
          <w:tblHeader w:val="true"/>
        </w:trPr>
        <w:tc>
          <w:tcPr>
            <w:tcW w:type="dxa" w:w="2651"/>
            <w:vAlign w:val="center"/>
            <w:shd w:fill="1F4D78"/>
            <w:tcMar>
              <w:top w:w="80" w:type="dxa"/>
              <w:bottom w:w="80" w:type="dxa"/>
              <w:start w:w="120" w:type="dxa"/>
              <w:end w:w="120" w:type="dxa"/>
            </w:tcMar>
          </w:tcPr>
          <w:p>
            <w:pPr>
              <w:pStyle w:val="TableText"/>
              <w:jc w:val="left"/>
            </w:pPr>
            <w:r>
              <w:rPr>
                <w:rFonts w:ascii="Calibri" w:hAnsi="Calibri"/>
                <w:b/>
                <w:color w:val="FFFFFF"/>
                <w:sz w:val="17"/>
              </w:rPr>
              <w:t>Policy</w:t>
            </w:r>
          </w:p>
        </w:tc>
        <w:tc>
          <w:tcPr>
            <w:tcW w:type="dxa" w:w="994"/>
            <w:vAlign w:val="center"/>
            <w:shd w:fill="1F4D78"/>
            <w:tcMar>
              <w:top w:w="80" w:type="dxa"/>
              <w:bottom w:w="80" w:type="dxa"/>
              <w:start w:w="120" w:type="dxa"/>
              <w:end w:w="120" w:type="dxa"/>
            </w:tcMar>
          </w:tcPr>
          <w:p>
            <w:pPr>
              <w:pStyle w:val="TableText"/>
              <w:jc w:val="left"/>
            </w:pPr>
            <w:r>
              <w:rPr>
                <w:rFonts w:ascii="Calibri" w:hAnsi="Calibri"/>
                <w:b/>
                <w:color w:val="FFFFFF"/>
                <w:sz w:val="17"/>
              </w:rPr>
              <w:t>Version/date</w:t>
            </w:r>
          </w:p>
        </w:tc>
        <w:tc>
          <w:tcPr>
            <w:tcW w:type="dxa" w:w="1822"/>
            <w:vAlign w:val="center"/>
            <w:shd w:fill="1F4D78"/>
            <w:tcMar>
              <w:top w:w="80" w:type="dxa"/>
              <w:bottom w:w="80" w:type="dxa"/>
              <w:start w:w="120" w:type="dxa"/>
              <w:end w:w="120" w:type="dxa"/>
            </w:tcMar>
          </w:tcPr>
          <w:p>
            <w:pPr>
              <w:pStyle w:val="TableText"/>
              <w:jc w:val="left"/>
            </w:pPr>
            <w:r>
              <w:rPr>
                <w:rFonts w:ascii="Calibri" w:hAnsi="Calibri"/>
                <w:b/>
                <w:color w:val="FFFFFF"/>
                <w:sz w:val="17"/>
              </w:rPr>
              <w:t>Owner</w:t>
            </w:r>
          </w:p>
        </w:tc>
        <w:tc>
          <w:tcPr>
            <w:tcW w:type="dxa" w:w="2651"/>
            <w:vAlign w:val="center"/>
            <w:shd w:fill="1F4D78"/>
            <w:tcMar>
              <w:top w:w="80" w:type="dxa"/>
              <w:bottom w:w="80" w:type="dxa"/>
              <w:start w:w="120" w:type="dxa"/>
              <w:end w:w="120" w:type="dxa"/>
            </w:tcMar>
          </w:tcPr>
          <w:p>
            <w:pPr>
              <w:pStyle w:val="TableText"/>
              <w:jc w:val="left"/>
            </w:pPr>
            <w:r>
              <w:rPr>
                <w:rFonts w:ascii="Calibri" w:hAnsi="Calibri"/>
                <w:b/>
                <w:color w:val="FFFFFF"/>
                <w:sz w:val="17"/>
              </w:rPr>
              <w:t>Approval required</w:t>
            </w:r>
          </w:p>
        </w:tc>
        <w:tc>
          <w:tcPr>
            <w:tcW w:type="dxa" w:w="1242"/>
            <w:vAlign w:val="center"/>
            <w:shd w:fill="1F4D78"/>
            <w:tcMar>
              <w:top w:w="80" w:type="dxa"/>
              <w:bottom w:w="80" w:type="dxa"/>
              <w:start w:w="120" w:type="dxa"/>
              <w:end w:w="120" w:type="dxa"/>
            </w:tcMar>
          </w:tcPr>
          <w:p>
            <w:pPr>
              <w:pStyle w:val="TableText"/>
              <w:jc w:val="left"/>
            </w:pPr>
            <w:r>
              <w:rPr>
                <w:rFonts w:ascii="Calibri" w:hAnsi="Calibri"/>
                <w:b/>
                <w:color w:val="FFFFFF"/>
                <w:sz w:val="17"/>
              </w:rPr>
              <w:t>Record 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Dependency and license intake</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[MANAGER/TECH]</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New/changed dependency</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Company OSS release gate</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Manager/counsel</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Every first/material release</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AI acceptable-use and provenance</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Manager/counsel</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New provider/material use</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Contributor intake</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Counsel/manager</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Every outside human contribution</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Security and incident response</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Manager/security owner</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Onboarding/updates</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r>
        <w:trPr>
          <w:cantSplit w:val="true"/>
        </w:trPr>
        <w:tc>
          <w:tcPr>
            <w:tcW w:type="dxa" w:w="2651"/>
            <w:vAlign w:val="top"/>
            <w:tcMar>
              <w:top w:w="80" w:type="dxa"/>
              <w:bottom w:w="80" w:type="dxa"/>
              <w:start w:w="120" w:type="dxa"/>
              <w:end w:w="120" w:type="dxa"/>
            </w:tcMar>
          </w:tcPr>
          <w:p>
            <w:pPr>
              <w:pStyle w:val="TableText"/>
              <w:jc w:val="left"/>
            </w:pPr>
            <w:r>
              <w:rPr>
                <w:rFonts w:ascii="Calibri" w:hAnsi="Calibri"/>
                <w:b w:val="0"/>
                <w:sz w:val="18"/>
              </w:rPr>
              <w:t>Device and account policy</w:t>
            </w:r>
          </w:p>
        </w:tc>
        <w:tc>
          <w:tcPr>
            <w:tcW w:type="dxa" w:w="994"/>
            <w:vAlign w:val="top"/>
            <w:tcMar>
              <w:top w:w="80" w:type="dxa"/>
              <w:bottom w:w="80" w:type="dxa"/>
              <w:start w:w="120" w:type="dxa"/>
              <w:end w:w="120" w:type="dxa"/>
            </w:tcMar>
          </w:tcPr>
          <w:p>
            <w:pPr>
              <w:pStyle w:val="TableText"/>
              <w:jc w:val="left"/>
            </w:pPr>
            <w:r>
              <w:rPr>
                <w:rFonts w:ascii="Calibri" w:hAnsi="Calibri"/>
                <w:b w:val="0"/>
                <w:sz w:val="18"/>
              </w:rPr>
              <w:t>[VERSION]</w:t>
            </w:r>
          </w:p>
        </w:tc>
        <w:tc>
          <w:tcPr>
            <w:tcW w:type="dxa" w:w="1822"/>
            <w:vAlign w:val="top"/>
            <w:tcMar>
              <w:top w:w="80" w:type="dxa"/>
              <w:bottom w:w="80" w:type="dxa"/>
              <w:start w:w="120" w:type="dxa"/>
              <w:end w:w="120" w:type="dxa"/>
            </w:tcMar>
          </w:tcPr>
          <w:p>
            <w:pPr>
              <w:pStyle w:val="TableText"/>
              <w:jc w:val="left"/>
            </w:pPr>
            <w:r>
              <w:rPr>
                <w:rFonts w:ascii="Calibri" w:hAnsi="Calibri"/>
                <w:b w:val="0"/>
                <w:sz w:val="18"/>
              </w:rPr>
              <w:t>Manager</w:t>
            </w:r>
          </w:p>
        </w:tc>
        <w:tc>
          <w:tcPr>
            <w:tcW w:type="dxa" w:w="2651"/>
            <w:vAlign w:val="top"/>
            <w:tcMar>
              <w:top w:w="80" w:type="dxa"/>
              <w:bottom w:w="80" w:type="dxa"/>
              <w:start w:w="120" w:type="dxa"/>
              <w:end w:w="120" w:type="dxa"/>
            </w:tcMar>
          </w:tcPr>
          <w:p>
            <w:pPr>
              <w:pStyle w:val="TableText"/>
              <w:jc w:val="left"/>
            </w:pPr>
            <w:r>
              <w:rPr>
                <w:rFonts w:ascii="Calibri" w:hAnsi="Calibri"/>
                <w:b w:val="0"/>
                <w:sz w:val="18"/>
              </w:rPr>
              <w:t>New device/account</w:t>
            </w:r>
          </w:p>
        </w:tc>
        <w:tc>
          <w:tcPr>
            <w:tcW w:type="dxa" w:w="1242"/>
            <w:vAlign w:val="top"/>
            <w:tcMar>
              <w:top w:w="80" w:type="dxa"/>
              <w:bottom w:w="80" w:type="dxa"/>
              <w:start w:w="120" w:type="dxa"/>
              <w:end w:w="120" w:type="dxa"/>
            </w:tcMar>
          </w:tcPr>
          <w:p>
            <w:pPr>
              <w:pStyle w:val="TableText"/>
              <w:jc w:val="left"/>
            </w:pPr>
            <w:r>
              <w:rPr>
                <w:rFonts w:ascii="Calibri" w:hAnsi="Calibri"/>
                <w:b w:val="0"/>
                <w:sz w:val="18"/>
              </w:rPr>
              <w:t>[LOCATION]</w:t>
            </w:r>
          </w:p>
        </w:tc>
      </w:tr>
    </w:tbl>
    <w:p>
      <w:pPr>
        <w:spacing w:after="40"/>
      </w:pPr>
    </w:p>
    <w:p>
      <w:pPr>
        <w:pStyle w:val="Heading1"/>
        <w:pageBreakBefore/>
      </w:pPr>
      <w:r>
        <w:rPr>
          <w:rFonts w:ascii="Calibri" w:hAnsi="Calibri"/>
          <w:b/>
        </w:rPr>
        <w:t>Schedule 10-E - Device and account assignment</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234"/>
        <w:gridCol w:w="977"/>
        <w:gridCol w:w="926"/>
        <w:gridCol w:w="669"/>
        <w:gridCol w:w="1851"/>
        <w:gridCol w:w="1389"/>
        <w:gridCol w:w="2314"/>
      </w:tblGrid>
      <w:tr>
        <w:trPr>
          <w:cantSplit w:val="true"/>
          <w:tblHeader w:val="true"/>
        </w:trPr>
        <w:tc>
          <w:tcPr>
            <w:tcW w:type="dxa" w:w="1234"/>
            <w:vAlign w:val="center"/>
            <w:shd w:fill="1F4D78"/>
            <w:tcMar>
              <w:top w:w="80" w:type="dxa"/>
              <w:bottom w:w="80" w:type="dxa"/>
              <w:start w:w="120" w:type="dxa"/>
              <w:end w:w="120" w:type="dxa"/>
            </w:tcMar>
          </w:tcPr>
          <w:p>
            <w:pPr>
              <w:pStyle w:val="TableText"/>
              <w:jc w:val="left"/>
            </w:pPr>
            <w:r>
              <w:rPr>
                <w:rFonts w:ascii="Calibri" w:hAnsi="Calibri"/>
                <w:b/>
                <w:color w:val="FFFFFF"/>
                <w:sz w:val="17"/>
              </w:rPr>
              <w:t>Device/account</w:t>
            </w:r>
          </w:p>
        </w:tc>
        <w:tc>
          <w:tcPr>
            <w:tcW w:type="dxa" w:w="977"/>
            <w:vAlign w:val="center"/>
            <w:shd w:fill="1F4D78"/>
            <w:tcMar>
              <w:top w:w="80" w:type="dxa"/>
              <w:bottom w:w="80" w:type="dxa"/>
              <w:start w:w="120" w:type="dxa"/>
              <w:end w:w="120" w:type="dxa"/>
            </w:tcMar>
          </w:tcPr>
          <w:p>
            <w:pPr>
              <w:pStyle w:val="TableText"/>
              <w:jc w:val="left"/>
            </w:pPr>
            <w:r>
              <w:rPr>
                <w:rFonts w:ascii="Calibri" w:hAnsi="Calibri"/>
                <w:b/>
                <w:color w:val="FFFFFF"/>
                <w:sz w:val="17"/>
              </w:rPr>
              <w:t>Legal/account owner</w:t>
            </w:r>
          </w:p>
        </w:tc>
        <w:tc>
          <w:tcPr>
            <w:tcW w:type="dxa" w:w="926"/>
            <w:vAlign w:val="center"/>
            <w:shd w:fill="1F4D78"/>
            <w:tcMar>
              <w:top w:w="80" w:type="dxa"/>
              <w:bottom w:w="80" w:type="dxa"/>
              <w:start w:w="120" w:type="dxa"/>
              <w:end w:w="120" w:type="dxa"/>
            </w:tcMar>
          </w:tcPr>
          <w:p>
            <w:pPr>
              <w:pStyle w:val="TableText"/>
              <w:jc w:val="left"/>
            </w:pPr>
            <w:r>
              <w:rPr>
                <w:rFonts w:ascii="Calibri" w:hAnsi="Calibri"/>
                <w:b/>
                <w:color w:val="FFFFFF"/>
                <w:sz w:val="17"/>
              </w:rPr>
              <w:t>Payer</w:t>
            </w:r>
          </w:p>
        </w:tc>
        <w:tc>
          <w:tcPr>
            <w:tcW w:type="dxa" w:w="669"/>
            <w:vAlign w:val="center"/>
            <w:shd w:fill="1F4D78"/>
            <w:tcMar>
              <w:top w:w="80" w:type="dxa"/>
              <w:bottom w:w="80" w:type="dxa"/>
              <w:start w:w="120" w:type="dxa"/>
              <w:end w:w="120" w:type="dxa"/>
            </w:tcMar>
          </w:tcPr>
          <w:p>
            <w:pPr>
              <w:pStyle w:val="TableText"/>
              <w:jc w:val="left"/>
            </w:pPr>
            <w:r>
              <w:rPr>
                <w:rFonts w:ascii="Calibri" w:hAnsi="Calibri"/>
                <w:b/>
                <w:color w:val="FFFFFF"/>
                <w:sz w:val="17"/>
              </w:rPr>
              <w:t>Assigned user</w:t>
            </w:r>
          </w:p>
        </w:tc>
        <w:tc>
          <w:tcPr>
            <w:tcW w:type="dxa" w:w="1851"/>
            <w:vAlign w:val="center"/>
            <w:shd w:fill="1F4D78"/>
            <w:tcMar>
              <w:top w:w="80" w:type="dxa"/>
              <w:bottom w:w="80" w:type="dxa"/>
              <w:start w:w="120" w:type="dxa"/>
              <w:end w:w="120" w:type="dxa"/>
            </w:tcMar>
          </w:tcPr>
          <w:p>
            <w:pPr>
              <w:pStyle w:val="TableText"/>
              <w:jc w:val="left"/>
            </w:pPr>
            <w:r>
              <w:rPr>
                <w:rFonts w:ascii="Calibri" w:hAnsi="Calibri"/>
                <w:b/>
                <w:color w:val="FFFFFF"/>
                <w:sz w:val="17"/>
              </w:rPr>
              <w:t>Company control method</w:t>
            </w:r>
          </w:p>
        </w:tc>
        <w:tc>
          <w:tcPr>
            <w:tcW w:type="dxa" w:w="1389"/>
            <w:vAlign w:val="center"/>
            <w:shd w:fill="1F4D78"/>
            <w:tcMar>
              <w:top w:w="80" w:type="dxa"/>
              <w:bottom w:w="80" w:type="dxa"/>
              <w:start w:w="120" w:type="dxa"/>
              <w:end w:w="120" w:type="dxa"/>
            </w:tcMar>
          </w:tcPr>
          <w:p>
            <w:pPr>
              <w:pStyle w:val="TableText"/>
              <w:jc w:val="left"/>
            </w:pPr>
            <w:r>
              <w:rPr>
                <w:rFonts w:ascii="Calibri" w:hAnsi="Calibri"/>
                <w:b/>
                <w:color w:val="FFFFFF"/>
                <w:sz w:val="17"/>
              </w:rPr>
              <w:t>Personal-data boundary</w:t>
            </w:r>
          </w:p>
        </w:tc>
        <w:tc>
          <w:tcPr>
            <w:tcW w:type="dxa" w:w="2314"/>
            <w:vAlign w:val="center"/>
            <w:shd w:fill="1F4D78"/>
            <w:tcMar>
              <w:top w:w="80" w:type="dxa"/>
              <w:bottom w:w="80" w:type="dxa"/>
              <w:start w:w="120" w:type="dxa"/>
              <w:end w:w="120" w:type="dxa"/>
            </w:tcMar>
          </w:tcPr>
          <w:p>
            <w:pPr>
              <w:pStyle w:val="TableText"/>
              <w:jc w:val="left"/>
            </w:pPr>
            <w:r>
              <w:rPr>
                <w:rFonts w:ascii="Calibri" w:hAnsi="Calibri"/>
                <w:b/>
                <w:color w:val="FFFFFF"/>
                <w:sz w:val="17"/>
              </w:rPr>
              <w:t>Return/transfer event</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Development computer</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[MDM/ENCRYPTION/BYOD]</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[POLICY]</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return if Company-owned; Handoff: update custody only</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GitHub identity/org role</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Individual login; org role</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Personal commits vs Company</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remove Company role; Handoff: update adult authority</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Company email</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Company [CONFIRM]</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Company/Vik [FACT]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Individual mailbox/MFA</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No personal use [POLICY]</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deactivate or archive; Handoff: authority update only</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Password manager</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Scoped vault/individual MFA</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[POLICY]</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remove access; Handoff: update Company-vault authority</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AI/coding services</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Approved business/personal exception</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Prompt/input restrictions</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remove Company access; Handoff: update business authority where supported</w:t>
            </w:r>
          </w:p>
        </w:tc>
      </w:tr>
      <w:tr>
        <w:trPr>
          <w:cantSplit w:val="true"/>
        </w:trPr>
        <w:tc>
          <w:tcPr>
            <w:tcW w:type="dxa" w:w="1234"/>
            <w:vAlign w:val="top"/>
            <w:tcMar>
              <w:top w:w="80" w:type="dxa"/>
              <w:bottom w:w="80" w:type="dxa"/>
              <w:start w:w="120" w:type="dxa"/>
              <w:end w:w="120" w:type="dxa"/>
            </w:tcMar>
          </w:tcPr>
          <w:p>
            <w:pPr>
              <w:pStyle w:val="TableText"/>
              <w:jc w:val="left"/>
            </w:pPr>
            <w:r>
              <w:rPr>
                <w:rFonts w:ascii="Calibri" w:hAnsi="Calibri"/>
                <w:b w:val="0"/>
                <w:sz w:val="18"/>
              </w:rPr>
              <w:t>Cloud/deploy accounts</w:t>
            </w:r>
          </w:p>
        </w:tc>
        <w:tc>
          <w:tcPr>
            <w:tcW w:type="dxa" w:w="977"/>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926"/>
            <w:vAlign w:val="top"/>
            <w:tcMar>
              <w:top w:w="80" w:type="dxa"/>
              <w:bottom w:w="80" w:type="dxa"/>
              <w:start w:w="120" w:type="dxa"/>
              <w:end w:w="120" w:type="dxa"/>
            </w:tcMar>
          </w:tcPr>
          <w:p>
            <w:pPr>
              <w:pStyle w:val="TableText"/>
              <w:jc w:val="left"/>
            </w:pPr>
            <w:r>
              <w:rPr>
                <w:rFonts w:ascii="Calibri" w:hAnsi="Calibri"/>
                <w:b w:val="0"/>
                <w:sz w:val="18"/>
              </w:rPr>
              <w:t>[FACT]</w:t>
            </w:r>
          </w:p>
        </w:tc>
        <w:tc>
          <w:tcPr>
            <w:tcW w:type="dxa" w:w="669"/>
            <w:vAlign w:val="top"/>
            <w:tcMar>
              <w:top w:w="80" w:type="dxa"/>
              <w:bottom w:w="80" w:type="dxa"/>
              <w:start w:w="120" w:type="dxa"/>
              <w:end w:w="120" w:type="dxa"/>
            </w:tcMar>
          </w:tcPr>
          <w:p>
            <w:pPr>
              <w:pStyle w:val="TableText"/>
              <w:jc w:val="left"/>
            </w:pPr>
            <w:r>
              <w:rPr>
                <w:rFonts w:ascii="Calibri" w:hAnsi="Calibri"/>
                <w:b w:val="0"/>
                <w:sz w:val="18"/>
              </w:rPr>
              <w:t>Liam</w:t>
            </w:r>
          </w:p>
        </w:tc>
        <w:tc>
          <w:tcPr>
            <w:tcW w:type="dxa" w:w="1851"/>
            <w:vAlign w:val="top"/>
            <w:tcMar>
              <w:top w:w="80" w:type="dxa"/>
              <w:bottom w:w="80" w:type="dxa"/>
              <w:start w:w="120" w:type="dxa"/>
              <w:end w:w="120" w:type="dxa"/>
            </w:tcMar>
          </w:tcPr>
          <w:p>
            <w:pPr>
              <w:pStyle w:val="TableText"/>
              <w:jc w:val="left"/>
            </w:pPr>
            <w:r>
              <w:rPr>
                <w:rFonts w:ascii="Calibri" w:hAnsi="Calibri"/>
                <w:b w:val="0"/>
                <w:sz w:val="18"/>
              </w:rPr>
              <w:t>Scoped role, no shared login</w:t>
            </w:r>
          </w:p>
        </w:tc>
        <w:tc>
          <w:tcPr>
            <w:tcW w:type="dxa" w:w="1389"/>
            <w:vAlign w:val="top"/>
            <w:tcMar>
              <w:top w:w="80" w:type="dxa"/>
              <w:bottom w:w="80" w:type="dxa"/>
              <w:start w:w="120" w:type="dxa"/>
              <w:end w:w="120" w:type="dxa"/>
            </w:tcMar>
          </w:tcPr>
          <w:p>
            <w:pPr>
              <w:pStyle w:val="TableText"/>
              <w:jc w:val="left"/>
            </w:pPr>
            <w:r>
              <w:rPr>
                <w:rFonts w:ascii="Calibri" w:hAnsi="Calibri"/>
                <w:b w:val="0"/>
                <w:sz w:val="18"/>
              </w:rPr>
              <w:t>[POLICY]</w:t>
            </w:r>
          </w:p>
        </w:tc>
        <w:tc>
          <w:tcPr>
            <w:tcW w:type="dxa" w:w="2314"/>
            <w:vAlign w:val="top"/>
            <w:tcMar>
              <w:top w:w="80" w:type="dxa"/>
              <w:bottom w:w="80" w:type="dxa"/>
              <w:start w:w="120" w:type="dxa"/>
              <w:end w:w="120" w:type="dxa"/>
            </w:tcMar>
          </w:tcPr>
          <w:p>
            <w:pPr>
              <w:pStyle w:val="TableText"/>
              <w:jc w:val="left"/>
            </w:pPr>
            <w:r>
              <w:rPr>
                <w:rFonts w:ascii="Calibri" w:hAnsi="Calibri"/>
                <w:b w:val="0"/>
                <w:sz w:val="18"/>
              </w:rPr>
              <w:t>Separation: remove role; Handoff: update Company admin authority</w:t>
            </w:r>
          </w:p>
        </w:tc>
      </w:tr>
    </w:tbl>
    <w:p>
      <w:pPr>
        <w:spacing w:after="40"/>
      </w:pPr>
    </w:p>
    <w:p>
      <w:pPr>
        <w:pStyle w:val="Heading1"/>
        <w:pageBreakBefore w:val="0"/>
      </w:pPr>
      <w:r>
        <w:rPr>
          <w:rFonts w:ascii="Calibri" w:hAnsi="Calibri"/>
          <w:b/>
        </w:rPr>
        <w:t>Disabled execution block</w:t>
      </w:r>
    </w:p>
    <w:p>
      <w:pPr>
        <w:keepLines w:val="0"/>
        <w:widowControl/>
      </w:pPr>
      <w:r>
        <w:rPr>
          <w:rFonts w:ascii="Calibri" w:hAnsi="Calibri"/>
          <w:b/>
          <w:sz w:val="21"/>
        </w:rPr>
        <w:t>DO NOT SIGN THIS DRAFT. Counsel and the CPA must finalize start date, wage, payroll, youth-employment analysis, duties, schedules, IP scope, independent review, parent consent, policies, and adult confirmation.</w:t>
      </w:r>
    </w:p>
    <w:p>
      <w:pPr>
        <w:pStyle w:val="Heading1"/>
        <w:pageBreakBefore/>
      </w:pPr>
      <w:r>
        <w:rPr>
          <w:rFonts w:ascii="Calibri" w:hAnsi="Calibri"/>
          <w:b/>
        </w:rPr>
        <w:t>Integrated Counsel Review Notes and Sources</w:t>
      </w:r>
    </w:p>
    <w:p>
      <w:pPr>
        <w:spacing w:before="80" w:after="160" w:line="259" w:lineRule="auto"/>
        <w:ind w:left="202" w:right="115"/>
        <w:shd w:fill="EEF5FA"/>
        <w:pBdr>
          <w:left w:val="single" w:sz="18" w:space="6" w:color="1F4D78"/>
        </w:pBdr>
      </w:pPr>
      <w:r>
        <w:rPr>
          <w:rFonts w:ascii="Calibri" w:hAnsi="Calibri"/>
          <w:b/>
          <w:sz w:val="19"/>
        </w:rPr>
        <w:t>NONOPERATIVE RESEARCH NOTES - REMOVE OR CONVERT TO A COUNSEL MEMORANDUM BEFORE EXECUTION</w:t>
      </w:r>
    </w:p>
    <w:p>
      <w:pPr>
        <w:pStyle w:val="Heading1"/>
        <w:pageBreakBefore w:val="0"/>
      </w:pPr>
      <w:r>
        <w:rPr>
          <w:rFonts w:ascii="Calibri" w:hAnsi="Calibri"/>
          <w:b/>
        </w:rPr>
        <w:t>1. Georgia LLC issues to resolve</w:t>
      </w:r>
    </w:p>
    <w:p>
      <w:pPr>
        <w:widowControl/>
        <w:numPr>
          <w:ilvl w:val="0"/>
          <w:numId w:val="72"/>
        </w:numPr>
      </w:pPr>
      <w:r>
        <w:rPr>
          <w:rFonts w:ascii="Calibri" w:hAnsi="Calibri"/>
          <w:b/>
          <w:sz w:val="20"/>
        </w:rPr>
        <w:t>Operating agreement and single-member writing.</w:t>
      </w:r>
      <w:r>
        <w:rPr>
          <w:rFonts w:ascii="Calibri" w:hAnsi="Calibri"/>
          <w:b w:val="0"/>
          <w:sz w:val="20"/>
        </w:rPr>
        <w:t xml:space="preserve"> O.C.G.A. Section 14-11-101(18) defines operating agreement broadly and includes a single-member signed-writing rule relevant to adoption and third-party rights. Counsel should eliminate uncertainty with a signed final writing.</w:t>
      </w:r>
    </w:p>
    <w:p>
      <w:pPr>
        <w:keepLines w:val="0"/>
        <w:widowControl/>
      </w:pPr>
      <w:r>
        <w:rPr>
          <w:rFonts w:ascii="Calibri" w:hAnsi="Calibri"/>
          <w:b w:val="0"/>
          <w:sz w:val="21"/>
        </w:rPr>
        <w:t xml:space="preserve">Source: </w:t>
      </w:r>
      <w:hyperlink r:id="rId11">
        <w:r>
          <w:rPr>
            <w:rFonts w:ascii="Calibri" w:hAnsi="Calibri"/>
            <w:color w:val="2E74B5"/>
            <w:u w:val="single"/>
            <w:sz w:val="21"/>
          </w:rPr>
          <w:t>https://law.justia.com/codes/georgia/title-14/chapter-11/article-1/section-14-11-101/</w:t>
        </w:r>
      </w:hyperlink>
    </w:p>
    <w:p>
      <w:pPr>
        <w:widowControl/>
        <w:numPr>
          <w:ilvl w:val="0"/>
          <w:numId w:val="73"/>
        </w:numPr>
      </w:pPr>
      <w:r>
        <w:rPr>
          <w:rFonts w:ascii="Calibri" w:hAnsi="Calibri"/>
          <w:b/>
          <w:sz w:val="20"/>
        </w:rPr>
        <w:t>Agency and manager-managed articles.</w:t>
      </w:r>
      <w:r>
        <w:rPr>
          <w:rFonts w:ascii="Calibri" w:hAnsi="Calibri"/>
          <w:b w:val="0"/>
          <w:sz w:val="20"/>
        </w:rPr>
        <w:t xml:space="preserve"> O.C.G.A. Section 14-11-301 ties member/manager agency to whether the articles provide for manager management; Section 14-11-304 permits articles or a written operating agreement to vest management in managers. Amend the articles for clear third-party agency rather than relying only on internal language.</w:t>
      </w:r>
    </w:p>
    <w:p>
      <w:pPr>
        <w:keepLines w:val="0"/>
        <w:widowControl/>
      </w:pPr>
      <w:r>
        <w:rPr>
          <w:rFonts w:ascii="Calibri" w:hAnsi="Calibri"/>
          <w:b w:val="0"/>
          <w:sz w:val="21"/>
        </w:rPr>
        <w:t xml:space="preserve">Sources: </w:t>
      </w:r>
      <w:hyperlink r:id="rId12">
        <w:r>
          <w:rPr>
            <w:rFonts w:ascii="Calibri" w:hAnsi="Calibri"/>
            <w:color w:val="2E74B5"/>
            <w:u w:val="single"/>
            <w:sz w:val="21"/>
          </w:rPr>
          <w:t>https://law.justia.com/codes/georgia/title-14/chapter-11/article-3/section-14-11-301/</w:t>
        </w:r>
      </w:hyperlink>
      <w:r>
        <w:rPr>
          <w:rFonts w:ascii="Calibri" w:hAnsi="Calibri"/>
          <w:b w:val="0"/>
          <w:sz w:val="21"/>
        </w:rPr>
        <w:t xml:space="preserve"> and </w:t>
      </w:r>
      <w:hyperlink r:id="rId13">
        <w:r>
          <w:rPr>
            <w:rFonts w:ascii="Calibri" w:hAnsi="Calibri"/>
            <w:color w:val="2E74B5"/>
            <w:u w:val="single"/>
            <w:sz w:val="21"/>
          </w:rPr>
          <w:t>https://law.justia.com/codes/georgia/title-14/chapter-11/article-3/section-14-11-304/</w:t>
        </w:r>
      </w:hyperlink>
    </w:p>
    <w:p>
      <w:pPr>
        <w:widowControl/>
        <w:numPr>
          <w:ilvl w:val="0"/>
          <w:numId w:val="74"/>
        </w:numPr>
      </w:pPr>
      <w:r>
        <w:rPr>
          <w:rFonts w:ascii="Calibri" w:hAnsi="Calibri"/>
          <w:b/>
          <w:sz w:val="20"/>
        </w:rPr>
        <w:t>Approval defaults.</w:t>
      </w:r>
      <w:r>
        <w:rPr>
          <w:rFonts w:ascii="Calibri" w:hAnsi="Calibri"/>
          <w:b w:val="0"/>
          <w:sz w:val="20"/>
        </w:rPr>
        <w:t xml:space="preserve"> O.C.G.A. Section 14-11-308 contains default approval rules for specified actions. Counsel should identify which defaults are modified and which matters remain reserved.</w:t>
      </w:r>
    </w:p>
    <w:p>
      <w:pPr>
        <w:keepLines w:val="0"/>
        <w:widowControl/>
      </w:pPr>
      <w:r>
        <w:rPr>
          <w:rFonts w:ascii="Calibri" w:hAnsi="Calibri"/>
          <w:b w:val="0"/>
          <w:sz w:val="21"/>
        </w:rPr>
        <w:t xml:space="preserve">Source: </w:t>
      </w:r>
      <w:hyperlink r:id="rId14">
        <w:r>
          <w:rPr>
            <w:rFonts w:ascii="Calibri" w:hAnsi="Calibri"/>
            <w:color w:val="2E74B5"/>
            <w:u w:val="single"/>
            <w:sz w:val="21"/>
          </w:rPr>
          <w:t>https://law.justia.com/codes/georgia/title-14/chapter-11/article-3/section-14-11-308/</w:t>
        </w:r>
      </w:hyperlink>
    </w:p>
    <w:p>
      <w:pPr>
        <w:widowControl/>
        <w:numPr>
          <w:ilvl w:val="0"/>
          <w:numId w:val="75"/>
        </w:numPr>
      </w:pPr>
      <w:r>
        <w:rPr>
          <w:rFonts w:ascii="Calibri" w:hAnsi="Calibri"/>
          <w:b/>
          <w:sz w:val="20"/>
        </w:rPr>
        <w:t>Assignment does not itself confer membership.</w:t>
      </w:r>
      <w:r>
        <w:rPr>
          <w:rFonts w:ascii="Calibri" w:hAnsi="Calibri"/>
          <w:b w:val="0"/>
          <w:sz w:val="20"/>
        </w:rPr>
        <w:t xml:space="preserve"> O.C.G.A. Sections 14-11-501 through 14-11-505 distinguish personal-property/economic assignment from member admission and assignee consent. Instruments 3, 4, and 8 must close together.</w:t>
      </w:r>
    </w:p>
    <w:p>
      <w:pPr>
        <w:keepLines w:val="0"/>
        <w:widowControl/>
      </w:pPr>
      <w:r>
        <w:rPr>
          <w:rFonts w:ascii="Calibri" w:hAnsi="Calibri"/>
          <w:b w:val="0"/>
          <w:sz w:val="21"/>
        </w:rPr>
        <w:t xml:space="preserve">Sources: </w:t>
      </w:r>
      <w:hyperlink r:id="rId15">
        <w:r>
          <w:rPr>
            <w:rFonts w:ascii="Calibri" w:hAnsi="Calibri"/>
            <w:color w:val="2E74B5"/>
            <w:u w:val="single"/>
            <w:sz w:val="21"/>
          </w:rPr>
          <w:t>https://law.justia.com/codes/georgia/title-14/chapter-11/article-5/section-14-11-501/</w:t>
        </w:r>
      </w:hyperlink>
      <w:r>
        <w:rPr>
          <w:rFonts w:ascii="Calibri" w:hAnsi="Calibri"/>
          <w:b w:val="0"/>
          <w:sz w:val="21"/>
        </w:rPr>
        <w:t xml:space="preserve"> through </w:t>
      </w:r>
      <w:hyperlink r:id="rId16">
        <w:r>
          <w:rPr>
            <w:rFonts w:ascii="Calibri" w:hAnsi="Calibri"/>
            <w:color w:val="2E74B5"/>
            <w:u w:val="single"/>
            <w:sz w:val="21"/>
          </w:rPr>
          <w:t>https://law.justia.com/codes/georgia/title-14/chapter-11/article-5/section-14-11-505/</w:t>
        </w:r>
      </w:hyperlink>
    </w:p>
    <w:p>
      <w:pPr>
        <w:widowControl/>
        <w:numPr>
          <w:ilvl w:val="0"/>
          <w:numId w:val="76"/>
        </w:numPr>
      </w:pPr>
      <w:r>
        <w:rPr>
          <w:rFonts w:ascii="Calibri" w:hAnsi="Calibri"/>
          <w:b/>
          <w:sz w:val="20"/>
        </w:rPr>
        <w:t>Last-member and continuity defaults.</w:t>
      </w:r>
      <w:r>
        <w:rPr>
          <w:rFonts w:ascii="Calibri" w:hAnsi="Calibri"/>
          <w:b w:val="0"/>
          <w:sz w:val="20"/>
        </w:rPr>
        <w:t xml:space="preserve"> Counsel should coordinate O.C.G.A. Sections 14-11-506, 14-11-601.1, and 14-11-602 with the Trust, successor trustee, advance admission, and dissolution provisions.</w:t>
      </w:r>
    </w:p>
    <w:p>
      <w:pPr>
        <w:keepLines w:val="0"/>
        <w:widowControl/>
      </w:pPr>
      <w:r>
        <w:rPr>
          <w:rFonts w:ascii="Calibri" w:hAnsi="Calibri"/>
          <w:b w:val="0"/>
          <w:sz w:val="21"/>
        </w:rPr>
        <w:t xml:space="preserve">Sources: </w:t>
      </w:r>
      <w:hyperlink r:id="rId17">
        <w:r>
          <w:rPr>
            <w:rFonts w:ascii="Calibri" w:hAnsi="Calibri"/>
            <w:color w:val="2E74B5"/>
            <w:u w:val="single"/>
            <w:sz w:val="21"/>
          </w:rPr>
          <w:t>https://law.justia.com/codes/georgia/title-14/chapter-11/article-5/section-14-11-506/</w:t>
        </w:r>
      </w:hyperlink>
      <w:r>
        <w:rPr>
          <w:rFonts w:ascii="Calibri" w:hAnsi="Calibri"/>
          <w:b w:val="0"/>
          <w:sz w:val="21"/>
        </w:rPr>
        <w:t>,</w:t>
      </w:r>
      <w:r>
        <w:rPr>
          <w:rFonts w:ascii="Calibri" w:hAnsi="Calibri"/>
          <w:b w:val="0"/>
          <w:sz w:val="21"/>
        </w:rPr>
        <w:t xml:space="preserve"> </w:t>
      </w:r>
      <w:hyperlink r:id="rId18">
        <w:r>
          <w:rPr>
            <w:rFonts w:ascii="Calibri" w:hAnsi="Calibri"/>
            <w:color w:val="2E74B5"/>
            <w:u w:val="single"/>
            <w:sz w:val="21"/>
          </w:rPr>
          <w:t>https://law.justia.com/codes/georgia/title-14/chapter-11/article-6/section-14-11-601-1/</w:t>
        </w:r>
      </w:hyperlink>
      <w:r>
        <w:rPr>
          <w:rFonts w:ascii="Calibri" w:hAnsi="Calibri"/>
          <w:b w:val="0"/>
          <w:sz w:val="21"/>
        </w:rPr>
        <w:t>,</w:t>
      </w:r>
      <w:r>
        <w:rPr>
          <w:rFonts w:ascii="Calibri" w:hAnsi="Calibri"/>
          <w:b w:val="0"/>
          <w:sz w:val="21"/>
        </w:rPr>
        <w:t xml:space="preserve"> and </w:t>
      </w:r>
      <w:hyperlink r:id="rId19">
        <w:r>
          <w:rPr>
            <w:rFonts w:ascii="Calibri" w:hAnsi="Calibri"/>
            <w:color w:val="2E74B5"/>
            <w:u w:val="single"/>
            <w:sz w:val="21"/>
          </w:rPr>
          <w:t>https://law.justia.com/codes/georgia/title-14/chapter-11/article-6/section-14-11-602/</w:t>
        </w:r>
      </w:hyperlink>
    </w:p>
    <w:p>
      <w:pPr>
        <w:pStyle w:val="Heading1"/>
        <w:pageBreakBefore w:val="0"/>
      </w:pPr>
      <w:r>
        <w:rPr>
          <w:rFonts w:ascii="Calibri" w:hAnsi="Calibri"/>
          <w:b/>
        </w:rPr>
        <w:t>2. Georgia trust issues to resolve</w:t>
      </w:r>
    </w:p>
    <w:p>
      <w:pPr>
        <w:widowControl/>
        <w:numPr>
          <w:ilvl w:val="0"/>
          <w:numId w:val="77"/>
        </w:numPr>
      </w:pPr>
      <w:r>
        <w:rPr>
          <w:rFonts w:ascii="Calibri" w:hAnsi="Calibri"/>
          <w:b/>
          <w:sz w:val="20"/>
        </w:rPr>
        <w:t>Express-trust essentials and funding.</w:t>
      </w:r>
      <w:r>
        <w:rPr>
          <w:rFonts w:ascii="Calibri" w:hAnsi="Calibri"/>
          <w:b w:val="0"/>
          <w:sz w:val="20"/>
        </w:rPr>
        <w:t xml:space="preserve"> O.C.G.A. Sections 53-12-20 and 53-12-25 require a valid trust instrument and actual transfer of legal title to the trustee; naming a trust may be treated as naming its trustee.</w:t>
      </w:r>
    </w:p>
    <w:p>
      <w:pPr>
        <w:keepLines w:val="0"/>
        <w:widowControl/>
      </w:pPr>
      <w:r>
        <w:rPr>
          <w:rFonts w:ascii="Calibri" w:hAnsi="Calibri"/>
          <w:b w:val="0"/>
          <w:sz w:val="21"/>
        </w:rPr>
        <w:t xml:space="preserve">Sources: </w:t>
      </w:r>
      <w:hyperlink r:id="rId20">
        <w:r>
          <w:rPr>
            <w:rFonts w:ascii="Calibri" w:hAnsi="Calibri"/>
            <w:color w:val="2E74B5"/>
            <w:u w:val="single"/>
            <w:sz w:val="21"/>
          </w:rPr>
          <w:t>https://law.justia.com/codes/georgia/title-53/chapter-12/article-2/section-53-12-20/</w:t>
        </w:r>
      </w:hyperlink>
      <w:r>
        <w:rPr>
          <w:rFonts w:ascii="Calibri" w:hAnsi="Calibri"/>
          <w:b w:val="0"/>
          <w:sz w:val="21"/>
        </w:rPr>
        <w:t xml:space="preserve"> and </w:t>
      </w:r>
      <w:hyperlink r:id="rId21">
        <w:r>
          <w:rPr>
            <w:rFonts w:ascii="Calibri" w:hAnsi="Calibri"/>
            <w:color w:val="2E74B5"/>
            <w:u w:val="single"/>
            <w:sz w:val="21"/>
          </w:rPr>
          <w:t>https://law.justia.com/codes/georgia/title-53/chapter-12/article-2/section-53-12-25/</w:t>
        </w:r>
      </w:hyperlink>
    </w:p>
    <w:p>
      <w:pPr>
        <w:widowControl/>
        <w:numPr>
          <w:ilvl w:val="0"/>
          <w:numId w:val="78"/>
        </w:numPr>
      </w:pPr>
      <w:r>
        <w:rPr>
          <w:rFonts w:ascii="Calibri" w:hAnsi="Calibri"/>
          <w:b/>
          <w:sz w:val="20"/>
        </w:rPr>
        <w:t>Irrevocability.</w:t>
      </w:r>
      <w:r>
        <w:rPr>
          <w:rFonts w:ascii="Calibri" w:hAnsi="Calibri"/>
          <w:b w:val="0"/>
          <w:sz w:val="20"/>
        </w:rPr>
        <w:t xml:space="preserve"> O.C.G.A. Section 53-12-40 addresses settlor revocation/modification powers. The final agreement must reserve none and should not accidentally create a broad retained power.</w:t>
      </w:r>
    </w:p>
    <w:p>
      <w:pPr>
        <w:keepLines w:val="0"/>
        <w:widowControl/>
      </w:pPr>
      <w:r>
        <w:rPr>
          <w:rFonts w:ascii="Calibri" w:hAnsi="Calibri"/>
          <w:b w:val="0"/>
          <w:sz w:val="21"/>
        </w:rPr>
        <w:t xml:space="preserve">Source: </w:t>
      </w:r>
      <w:hyperlink r:id="rId22">
        <w:r>
          <w:rPr>
            <w:rFonts w:ascii="Calibri" w:hAnsi="Calibri"/>
            <w:color w:val="2E74B5"/>
            <w:u w:val="single"/>
            <w:sz w:val="21"/>
          </w:rPr>
          <w:t>https://law.justia.com/codes/georgia/title-53/chapter-12/article-3/section-53-12-40/</w:t>
        </w:r>
      </w:hyperlink>
    </w:p>
    <w:p>
      <w:pPr>
        <w:widowControl/>
        <w:numPr>
          <w:ilvl w:val="0"/>
          <w:numId w:val="79"/>
        </w:numPr>
      </w:pPr>
      <w:r>
        <w:rPr>
          <w:rFonts w:ascii="Calibri" w:hAnsi="Calibri"/>
          <w:b/>
          <w:sz w:val="20"/>
        </w:rPr>
        <w:t>Modification.</w:t>
      </w:r>
      <w:r>
        <w:rPr>
          <w:rFonts w:ascii="Calibri" w:hAnsi="Calibri"/>
          <w:b w:val="0"/>
          <w:sz w:val="20"/>
        </w:rPr>
        <w:t xml:space="preserve"> O.C.G.A. Section 53-12-61 provides modification mechanisms. Any administrative correction clause must be incapable of changing Liam's beneficial ownership, Handoff Time, sale-proceeds rule, or pre-Handoff death disposition.</w:t>
      </w:r>
    </w:p>
    <w:p>
      <w:pPr>
        <w:keepLines w:val="0"/>
        <w:widowControl/>
      </w:pPr>
      <w:r>
        <w:rPr>
          <w:rFonts w:ascii="Calibri" w:hAnsi="Calibri"/>
          <w:b w:val="0"/>
          <w:sz w:val="21"/>
        </w:rPr>
        <w:t xml:space="preserve">Source: </w:t>
      </w:r>
      <w:hyperlink r:id="rId23">
        <w:r>
          <w:rPr>
            <w:rFonts w:ascii="Calibri" w:hAnsi="Calibri"/>
            <w:color w:val="2E74B5"/>
            <w:u w:val="single"/>
            <w:sz w:val="21"/>
          </w:rPr>
          <w:t>https://law.justia.com/codes/georgia/title-53/chapter-12/article-3/section-53-12-61/</w:t>
        </w:r>
      </w:hyperlink>
    </w:p>
    <w:p>
      <w:pPr>
        <w:widowControl/>
        <w:numPr>
          <w:ilvl w:val="0"/>
          <w:numId w:val="80"/>
        </w:numPr>
      </w:pPr>
      <w:r>
        <w:rPr>
          <w:rFonts w:ascii="Calibri" w:hAnsi="Calibri"/>
          <w:b/>
          <w:sz w:val="20"/>
        </w:rPr>
        <w:t>Good faith and conflicts.</w:t>
      </w:r>
      <w:r>
        <w:rPr>
          <w:rFonts w:ascii="Calibri" w:hAnsi="Calibri"/>
          <w:b w:val="0"/>
          <w:sz w:val="20"/>
        </w:rPr>
        <w:t xml:space="preserve"> O.C.G.A. Sections 53-12-240 and 53-12-246 require good-faith administration and loyalty to beneficiary interests. Lakshmi's trustee/member/manager/parent roles require specific conflict controls and potentially independent review.</w:t>
      </w:r>
    </w:p>
    <w:p>
      <w:pPr>
        <w:keepLines w:val="0"/>
        <w:widowControl/>
      </w:pPr>
      <w:r>
        <w:rPr>
          <w:rFonts w:ascii="Calibri" w:hAnsi="Calibri"/>
          <w:b w:val="0"/>
          <w:sz w:val="21"/>
        </w:rPr>
        <w:t xml:space="preserve">Sources: </w:t>
      </w:r>
      <w:hyperlink r:id="rId24">
        <w:r>
          <w:rPr>
            <w:rFonts w:ascii="Calibri" w:hAnsi="Calibri"/>
            <w:color w:val="2E74B5"/>
            <w:u w:val="single"/>
            <w:sz w:val="21"/>
          </w:rPr>
          <w:t>https://law.justia.com/codes/georgia/title-53/chapter-12/article-13/section-53-12-240/</w:t>
        </w:r>
      </w:hyperlink>
      <w:r>
        <w:rPr>
          <w:rFonts w:ascii="Calibri" w:hAnsi="Calibri"/>
          <w:b w:val="0"/>
          <w:sz w:val="21"/>
        </w:rPr>
        <w:t xml:space="preserve"> and </w:t>
      </w:r>
      <w:hyperlink r:id="rId25">
        <w:r>
          <w:rPr>
            <w:rFonts w:ascii="Calibri" w:hAnsi="Calibri"/>
            <w:color w:val="2E74B5"/>
            <w:u w:val="single"/>
            <w:sz w:val="21"/>
          </w:rPr>
          <w:t>https://law.justia.com/codes/georgia/title-53/chapter-12/article-13/section-53-12-246/</w:t>
        </w:r>
      </w:hyperlink>
    </w:p>
    <w:p>
      <w:pPr>
        <w:widowControl/>
        <w:numPr>
          <w:ilvl w:val="0"/>
          <w:numId w:val="81"/>
        </w:numPr>
      </w:pPr>
      <w:r>
        <w:rPr>
          <w:rFonts w:ascii="Calibri" w:hAnsi="Calibri"/>
          <w:b/>
          <w:sz w:val="20"/>
        </w:rPr>
        <w:t>Vested subject to divestment.</w:t>
      </w:r>
      <w:r>
        <w:rPr>
          <w:rFonts w:ascii="Calibri" w:hAnsi="Calibri"/>
          <w:b w:val="0"/>
          <w:sz w:val="20"/>
        </w:rPr>
        <w:t xml:space="preserve"> The selected economics make Liam vested while living but divest him if he dies before the Handoff Time. Trust, tax, estate, creditor, and platform descriptions must use the same precise formulation.</w:t>
      </w:r>
    </w:p>
    <w:p>
      <w:pPr>
        <w:pStyle w:val="Heading1"/>
        <w:pageBreakBefore w:val="0"/>
      </w:pPr>
      <w:r>
        <w:rPr>
          <w:rFonts w:ascii="Calibri" w:hAnsi="Calibri"/>
          <w:b/>
        </w:rPr>
        <w:t>3. Age, capacity, and protective-proceeding issues</w:t>
      </w:r>
    </w:p>
    <w:p>
      <w:pPr>
        <w:widowControl/>
        <w:numPr>
          <w:ilvl w:val="0"/>
          <w:numId w:val="82"/>
        </w:numPr>
      </w:pPr>
      <w:r>
        <w:rPr>
          <w:rFonts w:ascii="Calibri" w:hAnsi="Calibri"/>
          <w:b w:val="0"/>
          <w:sz w:val="20"/>
        </w:rPr>
        <w:t>Georgia's age of legal majority is 18 under O.C.G.A. Section 39-1-1. Georgia case law may apply a day-before-birthday calculation; counsel must confirm the first valid adult signing date while preserving the selected August 19, 2027 12:01 a.m. Eastern Time Handoff.</w:t>
      </w:r>
    </w:p>
    <w:p>
      <w:pPr>
        <w:keepLines w:val="0"/>
        <w:widowControl/>
      </w:pPr>
      <w:r>
        <w:rPr>
          <w:rFonts w:ascii="Calibri" w:hAnsi="Calibri"/>
          <w:b w:val="0"/>
          <w:sz w:val="21"/>
        </w:rPr>
        <w:t xml:space="preserve">Source: </w:t>
      </w:r>
      <w:hyperlink r:id="rId26">
        <w:r>
          <w:rPr>
            <w:rFonts w:ascii="Calibri" w:hAnsi="Calibri"/>
            <w:color w:val="2E74B5"/>
            <w:u w:val="single"/>
            <w:sz w:val="21"/>
          </w:rPr>
          <w:t>https://law.justia.com/codes/georgia/title-39/chapter-1/section-39-1-1/</w:t>
        </w:r>
      </w:hyperlink>
    </w:p>
    <w:p>
      <w:pPr>
        <w:widowControl/>
        <w:numPr>
          <w:ilvl w:val="0"/>
          <w:numId w:val="83"/>
        </w:numPr>
      </w:pPr>
      <w:r>
        <w:rPr>
          <w:rFonts w:ascii="Calibri" w:hAnsi="Calibri"/>
          <w:b w:val="0"/>
          <w:sz w:val="20"/>
        </w:rPr>
        <w:t>Minor contracts generally are voidable, and retention of benefits after majority may constitute ratification under O.C.G.A. Section 13-3-20.</w:t>
      </w:r>
    </w:p>
    <w:p>
      <w:pPr>
        <w:keepLines w:val="0"/>
        <w:widowControl/>
      </w:pPr>
      <w:r>
        <w:rPr>
          <w:rFonts w:ascii="Calibri" w:hAnsi="Calibri"/>
          <w:b w:val="0"/>
          <w:sz w:val="21"/>
        </w:rPr>
        <w:t xml:space="preserve">Source: </w:t>
      </w:r>
      <w:hyperlink r:id="rId27">
        <w:r>
          <w:rPr>
            <w:rFonts w:ascii="Calibri" w:hAnsi="Calibri"/>
            <w:color w:val="2E74B5"/>
            <w:u w:val="single"/>
            <w:sz w:val="21"/>
          </w:rPr>
          <w:t>https://law.justia.com/codes/georgia/title-13/chapter-3/article-2/section-13-3-20/</w:t>
        </w:r>
      </w:hyperlink>
    </w:p>
    <w:p>
      <w:pPr>
        <w:widowControl/>
        <w:numPr>
          <w:ilvl w:val="0"/>
          <w:numId w:val="84"/>
        </w:numPr>
      </w:pPr>
      <w:r>
        <w:rPr>
          <w:rFonts w:ascii="Calibri" w:hAnsi="Calibri"/>
          <w:b w:val="0"/>
          <w:sz w:val="20"/>
        </w:rPr>
        <w:t>O.C.G.A. Section 13-3-21 contains a business-related minor-contract provision that may or may not apply to this precise arrangement. O.C.G.A. Section 44-5-41 treats a minor's conveyance of property as voidable. Counsel must resolve the interaction rather than assume parental consent cures it.</w:t>
      </w:r>
    </w:p>
    <w:p>
      <w:pPr>
        <w:keepLines w:val="0"/>
        <w:widowControl/>
      </w:pPr>
      <w:r>
        <w:rPr>
          <w:rFonts w:ascii="Calibri" w:hAnsi="Calibri"/>
          <w:b w:val="0"/>
          <w:sz w:val="21"/>
        </w:rPr>
        <w:t xml:space="preserve">Sources: </w:t>
      </w:r>
      <w:hyperlink r:id="rId28">
        <w:r>
          <w:rPr>
            <w:rFonts w:ascii="Calibri" w:hAnsi="Calibri"/>
            <w:color w:val="2E74B5"/>
            <w:u w:val="single"/>
            <w:sz w:val="21"/>
          </w:rPr>
          <w:t>https://law.justia.com/codes/georgia/title-13/chapter-3/article-2/section-13-3-21/</w:t>
        </w:r>
      </w:hyperlink>
      <w:r>
        <w:rPr>
          <w:rFonts w:ascii="Calibri" w:hAnsi="Calibri"/>
          <w:b w:val="0"/>
          <w:sz w:val="21"/>
        </w:rPr>
        <w:t xml:space="preserve"> and </w:t>
      </w:r>
      <w:hyperlink r:id="rId29">
        <w:r>
          <w:rPr>
            <w:rFonts w:ascii="Calibri" w:hAnsi="Calibri"/>
            <w:color w:val="2E74B5"/>
            <w:u w:val="single"/>
            <w:sz w:val="21"/>
          </w:rPr>
          <w:t>https://law.justia.com/codes/georgia/title-44/chapter-5/article-2/section-44-5-41/</w:t>
        </w:r>
      </w:hyperlink>
    </w:p>
    <w:p>
      <w:pPr>
        <w:widowControl/>
        <w:numPr>
          <w:ilvl w:val="0"/>
          <w:numId w:val="85"/>
        </w:numPr>
      </w:pPr>
      <w:r>
        <w:rPr>
          <w:rFonts w:ascii="Calibri" w:hAnsi="Calibri"/>
          <w:b w:val="0"/>
          <w:sz w:val="20"/>
        </w:rPr>
        <w:t>If the historical IP or transaction value is material, counsel should evaluate conservatorship, guardian ad litem, independent representation, and court approval under Georgia Title 29. The potential conflict arises from Lakshmi's overlapping parent, trustee, manager, and transferee-side roles, not from any asserted beneficial ownership by Lakshmi.</w:t>
      </w:r>
    </w:p>
    <w:p>
      <w:pPr>
        <w:keepLines w:val="0"/>
        <w:widowControl/>
      </w:pPr>
      <w:r>
        <w:rPr>
          <w:rFonts w:ascii="Calibri" w:hAnsi="Calibri"/>
          <w:b w:val="0"/>
          <w:sz w:val="21"/>
        </w:rPr>
        <w:t xml:space="preserve">Starting sources: </w:t>
      </w:r>
      <w:hyperlink r:id="rId30">
        <w:r>
          <w:rPr>
            <w:rFonts w:ascii="Calibri" w:hAnsi="Calibri"/>
            <w:color w:val="2E74B5"/>
            <w:u w:val="single"/>
            <w:sz w:val="21"/>
          </w:rPr>
          <w:t>https://law.justia.com/codes/georgia/title-29/chapter-3/article-2/section-29-3-23/</w:t>
        </w:r>
      </w:hyperlink>
      <w:r>
        <w:rPr>
          <w:rFonts w:ascii="Calibri" w:hAnsi="Calibri"/>
          <w:b w:val="0"/>
          <w:sz w:val="21"/>
        </w:rPr>
        <w:t xml:space="preserve"> and </w:t>
      </w:r>
      <w:hyperlink r:id="rId31">
        <w:r>
          <w:rPr>
            <w:rFonts w:ascii="Calibri" w:hAnsi="Calibri"/>
            <w:color w:val="2E74B5"/>
            <w:u w:val="single"/>
            <w:sz w:val="21"/>
          </w:rPr>
          <w:t>https://law.justia.com/codes/georgia/title-29/chapter-3/article-3/section-29-3-35/</w:t>
        </w:r>
      </w:hyperlink>
    </w:p>
    <w:p>
      <w:pPr>
        <w:pStyle w:val="Heading1"/>
        <w:pageBreakBefore w:val="0"/>
      </w:pPr>
      <w:r>
        <w:rPr>
          <w:rFonts w:ascii="Calibri" w:hAnsi="Calibri"/>
          <w:b/>
        </w:rPr>
        <w:t>4. Copyright, patent, and employment sources</w:t>
      </w:r>
    </w:p>
    <w:p>
      <w:pPr>
        <w:widowControl/>
        <w:numPr>
          <w:ilvl w:val="0"/>
          <w:numId w:val="86"/>
        </w:numPr>
      </w:pPr>
      <w:r>
        <w:rPr>
          <w:rFonts w:ascii="Calibri" w:hAnsi="Calibri"/>
          <w:b w:val="0"/>
          <w:sz w:val="20"/>
        </w:rPr>
        <w:t>Copyright initially vests in the author; an employee work made for hire vests in the employer under 17 U.S.C. Section 201.</w:t>
      </w:r>
    </w:p>
    <w:p>
      <w:pPr>
        <w:keepLines w:val="0"/>
        <w:widowControl/>
      </w:pPr>
      <w:r>
        <w:rPr>
          <w:rFonts w:ascii="Calibri" w:hAnsi="Calibri"/>
          <w:b w:val="0"/>
          <w:sz w:val="21"/>
        </w:rPr>
        <w:t xml:space="preserve">Source: </w:t>
      </w:r>
      <w:hyperlink r:id="rId32">
        <w:r>
          <w:rPr>
            <w:rFonts w:ascii="Calibri" w:hAnsi="Calibri"/>
            <w:color w:val="2E74B5"/>
            <w:u w:val="single"/>
            <w:sz w:val="21"/>
          </w:rPr>
          <w:t>https://uscode.house.gov/view.xhtml?req=granuleid:USC-prelim-title17-section201</w:t>
        </w:r>
      </w:hyperlink>
    </w:p>
    <w:p>
      <w:pPr>
        <w:widowControl/>
        <w:numPr>
          <w:ilvl w:val="0"/>
          <w:numId w:val="87"/>
        </w:numPr>
      </w:pPr>
      <w:r>
        <w:rPr>
          <w:rFonts w:ascii="Calibri" w:hAnsi="Calibri"/>
          <w:b w:val="0"/>
          <w:sz w:val="20"/>
        </w:rPr>
        <w:t>The statutory work-made-for-hire definition is in 17 U.S.C. Section 101. A commissioned software work is not automatically work made for hire merely because a contract says so; the employee relationship and actual scope matter.</w:t>
      </w:r>
    </w:p>
    <w:p>
      <w:pPr>
        <w:keepLines w:val="0"/>
        <w:widowControl/>
      </w:pPr>
      <w:r>
        <w:rPr>
          <w:rFonts w:ascii="Calibri" w:hAnsi="Calibri"/>
          <w:b w:val="0"/>
          <w:sz w:val="21"/>
        </w:rPr>
        <w:t xml:space="preserve">Source: </w:t>
      </w:r>
      <w:hyperlink r:id="rId33">
        <w:r>
          <w:rPr>
            <w:rFonts w:ascii="Calibri" w:hAnsi="Calibri"/>
            <w:color w:val="2E74B5"/>
            <w:u w:val="single"/>
            <w:sz w:val="21"/>
          </w:rPr>
          <w:t>https://uscode.house.gov/view.xhtml?req=granuleid:USC-prelim-title17-section101</w:t>
        </w:r>
      </w:hyperlink>
    </w:p>
    <w:p>
      <w:pPr>
        <w:widowControl/>
        <w:numPr>
          <w:ilvl w:val="0"/>
          <w:numId w:val="88"/>
        </w:numPr>
      </w:pPr>
      <w:r>
        <w:rPr>
          <w:rFonts w:ascii="Calibri" w:hAnsi="Calibri"/>
          <w:b w:val="0"/>
          <w:sz w:val="20"/>
        </w:rPr>
        <w:t>A copyright transfer generally requires a signed writing under 17 U.S.C. Section 204(a).</w:t>
      </w:r>
    </w:p>
    <w:p>
      <w:pPr>
        <w:keepLines w:val="0"/>
        <w:widowControl/>
      </w:pPr>
      <w:r>
        <w:rPr>
          <w:rFonts w:ascii="Calibri" w:hAnsi="Calibri"/>
          <w:b w:val="0"/>
          <w:sz w:val="21"/>
        </w:rPr>
        <w:t xml:space="preserve">Source: </w:t>
      </w:r>
      <w:hyperlink r:id="rId34">
        <w:r>
          <w:rPr>
            <w:rFonts w:ascii="Calibri" w:hAnsi="Calibri"/>
            <w:color w:val="2E74B5"/>
            <w:u w:val="single"/>
            <w:sz w:val="21"/>
          </w:rPr>
          <w:t>https://uscode.house.gov/view.xhtml?req=granuleid:USC-prelim-title17-section204</w:t>
        </w:r>
      </w:hyperlink>
    </w:p>
    <w:p>
      <w:pPr>
        <w:widowControl/>
        <w:numPr>
          <w:ilvl w:val="0"/>
          <w:numId w:val="89"/>
        </w:numPr>
      </w:pPr>
      <w:r>
        <w:rPr>
          <w:rFonts w:ascii="Calibri" w:hAnsi="Calibri"/>
          <w:b w:val="0"/>
          <w:sz w:val="20"/>
        </w:rPr>
        <w:t>Patent assignments must be in writing under 35 U.S.C. Section 261.</w:t>
      </w:r>
    </w:p>
    <w:p>
      <w:pPr>
        <w:keepLines w:val="0"/>
        <w:widowControl/>
      </w:pPr>
      <w:r>
        <w:rPr>
          <w:rFonts w:ascii="Calibri" w:hAnsi="Calibri"/>
          <w:b w:val="0"/>
          <w:sz w:val="21"/>
        </w:rPr>
        <w:t xml:space="preserve">Source: </w:t>
      </w:r>
      <w:hyperlink r:id="rId35">
        <w:r>
          <w:rPr>
            <w:rFonts w:ascii="Calibri" w:hAnsi="Calibri"/>
            <w:color w:val="2E74B5"/>
            <w:u w:val="single"/>
            <w:sz w:val="21"/>
          </w:rPr>
          <w:t>https://uscode.house.gov/view.xhtml?req=granuleid:USC-prelim-title35-section261</w:t>
        </w:r>
      </w:hyperlink>
    </w:p>
    <w:p>
      <w:pPr>
        <w:widowControl/>
        <w:numPr>
          <w:ilvl w:val="0"/>
          <w:numId w:val="90"/>
        </w:numPr>
      </w:pPr>
      <w:r>
        <w:rPr>
          <w:rFonts w:ascii="Calibri" w:hAnsi="Calibri"/>
          <w:b w:val="0"/>
          <w:sz w:val="20"/>
        </w:rPr>
        <w:t>Certain non-work-made-for-hire grants may be subject to termination under 17 U.S.C. Section 203 notwithstanding contrary contract language.</w:t>
      </w:r>
    </w:p>
    <w:p>
      <w:pPr>
        <w:keepLines w:val="0"/>
        <w:widowControl/>
      </w:pPr>
      <w:r>
        <w:rPr>
          <w:rFonts w:ascii="Calibri" w:hAnsi="Calibri"/>
          <w:b w:val="0"/>
          <w:sz w:val="21"/>
        </w:rPr>
        <w:t xml:space="preserve">Source: </w:t>
      </w:r>
      <w:hyperlink r:id="rId36">
        <w:r>
          <w:rPr>
            <w:rFonts w:ascii="Calibri" w:hAnsi="Calibri"/>
            <w:color w:val="2E74B5"/>
            <w:u w:val="single"/>
            <w:sz w:val="21"/>
          </w:rPr>
          <w:t>https://uscode.house.gov/view.xhtml?req=granuleid:USC-prelim-title17-section203</w:t>
        </w:r>
      </w:hyperlink>
    </w:p>
    <w:p>
      <w:pPr>
        <w:widowControl/>
        <w:numPr>
          <w:ilvl w:val="0"/>
          <w:numId w:val="91"/>
        </w:numPr>
      </w:pPr>
      <w:r>
        <w:rPr>
          <w:rFonts w:ascii="Calibri" w:hAnsi="Calibri"/>
          <w:b w:val="0"/>
          <w:sz w:val="20"/>
        </w:rPr>
        <w:t>U.S. Copyright Office guidance confirms minors may own and register copyrights, while state law governs dealings in the copyright.</w:t>
      </w:r>
    </w:p>
    <w:p>
      <w:pPr>
        <w:keepLines w:val="0"/>
        <w:widowControl/>
      </w:pPr>
      <w:r>
        <w:rPr>
          <w:rFonts w:ascii="Calibri" w:hAnsi="Calibri"/>
          <w:b w:val="0"/>
          <w:sz w:val="21"/>
        </w:rPr>
        <w:t xml:space="preserve">Source: </w:t>
      </w:r>
      <w:hyperlink r:id="rId37">
        <w:r>
          <w:rPr>
            <w:rFonts w:ascii="Calibri" w:hAnsi="Calibri"/>
            <w:color w:val="2E74B5"/>
            <w:u w:val="single"/>
            <w:sz w:val="21"/>
          </w:rPr>
          <w:t>https://www.copyright.gov/help/faq/faq-who.html</w:t>
        </w:r>
      </w:hyperlink>
    </w:p>
    <w:p>
      <w:pPr>
        <w:widowControl/>
        <w:numPr>
          <w:ilvl w:val="0"/>
          <w:numId w:val="92"/>
        </w:numPr>
      </w:pPr>
      <w:r>
        <w:rPr>
          <w:rFonts w:ascii="Calibri" w:hAnsi="Calibri"/>
          <w:b w:val="0"/>
          <w:sz w:val="20"/>
        </w:rPr>
        <w:t>The Defend Trade Secrets Act immunity notice is in 18 U.S.C. Section 1833(b).</w:t>
      </w:r>
    </w:p>
    <w:p>
      <w:pPr>
        <w:keepLines w:val="0"/>
        <w:widowControl/>
      </w:pPr>
      <w:r>
        <w:rPr>
          <w:rFonts w:ascii="Calibri" w:hAnsi="Calibri"/>
          <w:b w:val="0"/>
          <w:sz w:val="21"/>
        </w:rPr>
        <w:t xml:space="preserve">Source: </w:t>
      </w:r>
      <w:hyperlink r:id="rId38">
        <w:r>
          <w:rPr>
            <w:rFonts w:ascii="Calibri" w:hAnsi="Calibri"/>
            <w:color w:val="2E74B5"/>
            <w:u w:val="single"/>
            <w:sz w:val="21"/>
          </w:rPr>
          <w:t>https://uscode.house.gov/view.xhtml?req=granuleid:USC-prelim-title18-section1833</w:t>
        </w:r>
      </w:hyperlink>
    </w:p>
    <w:p>
      <w:pPr>
        <w:pStyle w:val="Heading1"/>
        <w:pageBreakBefore w:val="0"/>
      </w:pPr>
      <w:r>
        <w:rPr>
          <w:rFonts w:ascii="Calibri" w:hAnsi="Calibri"/>
          <w:b/>
        </w:rPr>
        <w:t>5. Youth employment and payroll sources</w:t>
      </w:r>
    </w:p>
    <w:p>
      <w:pPr>
        <w:widowControl/>
        <w:numPr>
          <w:ilvl w:val="0"/>
          <w:numId w:val="93"/>
        </w:numPr>
      </w:pPr>
      <w:r>
        <w:rPr>
          <w:rFonts w:ascii="Calibri" w:hAnsi="Calibri"/>
          <w:b w:val="0"/>
          <w:sz w:val="20"/>
        </w:rPr>
        <w:t>Federal guidance states that 16- and 17-year-olds may work unlimited hours in nonhazardous nonagricultural employment, but hazardous-occupation restrictions remain.</w:t>
      </w:r>
    </w:p>
    <w:p>
      <w:pPr>
        <w:keepLines w:val="0"/>
        <w:widowControl/>
      </w:pPr>
      <w:r>
        <w:rPr>
          <w:rFonts w:ascii="Calibri" w:hAnsi="Calibri"/>
          <w:b w:val="0"/>
          <w:sz w:val="21"/>
        </w:rPr>
        <w:t xml:space="preserve">Sources: </w:t>
      </w:r>
      <w:hyperlink r:id="rId39">
        <w:r>
          <w:rPr>
            <w:rFonts w:ascii="Calibri" w:hAnsi="Calibri"/>
            <w:color w:val="2E74B5"/>
            <w:u w:val="single"/>
            <w:sz w:val="21"/>
          </w:rPr>
          <w:t>https://www.dol.gov/agencies/whd/youthrules/young-workers/non-ag-16-17</w:t>
        </w:r>
      </w:hyperlink>
      <w:r>
        <w:rPr>
          <w:rFonts w:ascii="Calibri" w:hAnsi="Calibri"/>
          <w:b w:val="0"/>
          <w:sz w:val="21"/>
        </w:rPr>
        <w:t xml:space="preserve"> and </w:t>
      </w:r>
      <w:hyperlink r:id="rId40">
        <w:r>
          <w:rPr>
            <w:rFonts w:ascii="Calibri" w:hAnsi="Calibri"/>
            <w:color w:val="2E74B5"/>
            <w:u w:val="single"/>
            <w:sz w:val="21"/>
          </w:rPr>
          <w:t>https://www.dol.gov/agencies/whd/fact-sheets/43-child-labor-non-agriculture</w:t>
        </w:r>
      </w:hyperlink>
    </w:p>
    <w:p>
      <w:pPr>
        <w:widowControl/>
        <w:numPr>
          <w:ilvl w:val="0"/>
          <w:numId w:val="94"/>
        </w:numPr>
      </w:pPr>
      <w:r>
        <w:rPr>
          <w:rFonts w:ascii="Calibri" w:hAnsi="Calibri"/>
          <w:b w:val="0"/>
          <w:sz w:val="20"/>
        </w:rPr>
        <w:t>Georgia Department of Labor guidance and work-permit rules require exact age/duty review.</w:t>
      </w:r>
    </w:p>
    <w:p>
      <w:pPr>
        <w:keepLines w:val="0"/>
        <w:widowControl/>
      </w:pPr>
      <w:r>
        <w:rPr>
          <w:rFonts w:ascii="Calibri" w:hAnsi="Calibri"/>
          <w:b w:val="0"/>
          <w:sz w:val="21"/>
        </w:rPr>
        <w:t xml:space="preserve">Sources: </w:t>
      </w:r>
      <w:hyperlink r:id="rId41">
        <w:r>
          <w:rPr>
            <w:rFonts w:ascii="Calibri" w:hAnsi="Calibri"/>
            <w:color w:val="2E74B5"/>
            <w:u w:val="single"/>
            <w:sz w:val="21"/>
          </w:rPr>
          <w:t>https://dol.georgia.gov/child-labor-law-exceptions</w:t>
        </w:r>
      </w:hyperlink>
      <w:r>
        <w:rPr>
          <w:rFonts w:ascii="Calibri" w:hAnsi="Calibri"/>
          <w:b w:val="0"/>
          <w:sz w:val="21"/>
        </w:rPr>
        <w:t xml:space="preserve"> and </w:t>
      </w:r>
      <w:hyperlink r:id="rId42">
        <w:r>
          <w:rPr>
            <w:rFonts w:ascii="Calibri" w:hAnsi="Calibri"/>
            <w:color w:val="2E74B5"/>
            <w:u w:val="single"/>
            <w:sz w:val="21"/>
          </w:rPr>
          <w:t>https://dol.georgia.gov/child-labor-hazardous-occupations</w:t>
        </w:r>
      </w:hyperlink>
    </w:p>
    <w:p>
      <w:pPr>
        <w:widowControl/>
        <w:numPr>
          <w:ilvl w:val="0"/>
          <w:numId w:val="95"/>
        </w:numPr>
      </w:pPr>
      <w:r>
        <w:rPr>
          <w:rFonts w:ascii="Calibri" w:hAnsi="Calibri"/>
          <w:b w:val="0"/>
          <w:sz w:val="20"/>
        </w:rPr>
        <w:t>IRS family-employment rules depend on the employer's actual legal and tax structure.</w:t>
      </w:r>
    </w:p>
    <w:p>
      <w:pPr>
        <w:keepLines w:val="0"/>
        <w:widowControl/>
      </w:pPr>
      <w:r>
        <w:rPr>
          <w:rFonts w:ascii="Calibri" w:hAnsi="Calibri"/>
          <w:b w:val="0"/>
          <w:sz w:val="21"/>
        </w:rPr>
        <w:t xml:space="preserve">Sources: </w:t>
      </w:r>
      <w:hyperlink r:id="rId43">
        <w:r>
          <w:rPr>
            <w:rFonts w:ascii="Calibri" w:hAnsi="Calibri"/>
            <w:color w:val="2E74B5"/>
            <w:u w:val="single"/>
            <w:sz w:val="21"/>
          </w:rPr>
          <w:t>https://www.irs.gov/businesses/small-businesses-self-employed/family-employees</w:t>
        </w:r>
      </w:hyperlink>
      <w:r>
        <w:rPr>
          <w:rFonts w:ascii="Calibri" w:hAnsi="Calibri"/>
          <w:b w:val="0"/>
          <w:sz w:val="21"/>
        </w:rPr>
        <w:t xml:space="preserve"> and </w:t>
      </w:r>
      <w:hyperlink r:id="rId44">
        <w:r>
          <w:rPr>
            <w:rFonts w:ascii="Calibri" w:hAnsi="Calibri"/>
            <w:color w:val="2E74B5"/>
            <w:u w:val="single"/>
            <w:sz w:val="21"/>
          </w:rPr>
          <w:t>https://www.irs.gov/publications/p15</w:t>
        </w:r>
      </w:hyperlink>
    </w:p>
    <w:p>
      <w:pPr>
        <w:widowControl/>
        <w:numPr>
          <w:ilvl w:val="0"/>
          <w:numId w:val="96"/>
        </w:numPr>
      </w:pPr>
      <w:r>
        <w:rPr>
          <w:rFonts w:ascii="Calibri" w:hAnsi="Calibri"/>
          <w:b w:val="0"/>
          <w:sz w:val="20"/>
        </w:rPr>
        <w:t>Georgia new-hire and withholding procedures must be included in payroll setup.</w:t>
      </w:r>
    </w:p>
    <w:p>
      <w:pPr>
        <w:keepLines w:val="0"/>
        <w:widowControl/>
      </w:pPr>
      <w:r>
        <w:rPr>
          <w:rFonts w:ascii="Calibri" w:hAnsi="Calibri"/>
          <w:b w:val="0"/>
          <w:sz w:val="21"/>
        </w:rPr>
        <w:t xml:space="preserve">Sources: </w:t>
      </w:r>
      <w:hyperlink r:id="rId45">
        <w:r>
          <w:rPr>
            <w:rFonts w:ascii="Calibri" w:hAnsi="Calibri"/>
            <w:color w:val="2E74B5"/>
            <w:u w:val="single"/>
            <w:sz w:val="21"/>
          </w:rPr>
          <w:t>https://www.ga-newhire.com/reporting_fundamentals</w:t>
        </w:r>
      </w:hyperlink>
      <w:r>
        <w:rPr>
          <w:rFonts w:ascii="Calibri" w:hAnsi="Calibri"/>
          <w:b w:val="0"/>
          <w:sz w:val="21"/>
        </w:rPr>
        <w:t xml:space="preserve"> and </w:t>
      </w:r>
      <w:hyperlink r:id="rId46">
        <w:r>
          <w:rPr>
            <w:rFonts w:ascii="Calibri" w:hAnsi="Calibri"/>
            <w:color w:val="2E74B5"/>
            <w:u w:val="single"/>
            <w:sz w:val="21"/>
          </w:rPr>
          <w:t>https://dor.georgia.gov/taxes/withholding-tax-employers</w:t>
        </w:r>
      </w:hyperlink>
    </w:p>
    <w:p>
      <w:pPr>
        <w:pStyle w:val="Heading1"/>
        <w:pageBreakBefore w:val="0"/>
      </w:pPr>
      <w:r>
        <w:rPr>
          <w:rFonts w:ascii="Calibri" w:hAnsi="Calibri"/>
          <w:b/>
        </w:rPr>
        <w:t>6. Public-IP evidence to attach</w:t>
      </w:r>
    </w:p>
    <w:p>
      <w:pPr>
        <w:keepLines w:val="0"/>
        <w:widowControl/>
      </w:pPr>
      <w:r>
        <w:rPr>
          <w:rFonts w:ascii="Calibri" w:hAnsi="Calibri"/>
          <w:b w:val="0"/>
          <w:sz w:val="21"/>
        </w:rPr>
        <w:t>Counsel should receive a dated, hashed evidence folder containing:</w:t>
      </w:r>
    </w:p>
    <w:p>
      <w:pPr>
        <w:widowControl/>
        <w:numPr>
          <w:ilvl w:val="0"/>
          <w:numId w:val="97"/>
        </w:numPr>
      </w:pPr>
      <w:r>
        <w:rPr>
          <w:rFonts w:ascii="Calibri" w:hAnsi="Calibri"/>
          <w:b w:val="0"/>
          <w:sz w:val="20"/>
        </w:rPr>
        <w:t>public-page captures and response headers for home, docs, Terms, Privacy, EULA, and license pages;</w:t>
      </w:r>
    </w:p>
    <w:p>
      <w:pPr>
        <w:widowControl/>
        <w:numPr>
          <w:ilvl w:val="0"/>
          <w:numId w:val="97"/>
        </w:numPr>
      </w:pPr>
      <w:r>
        <w:rPr>
          <w:rFonts w:ascii="Calibri" w:hAnsi="Calibri"/>
          <w:b w:val="0"/>
          <w:sz w:val="20"/>
        </w:rPr>
        <w:t>the July 10 gate-change record and current Cloudflare route policy;</w:t>
      </w:r>
    </w:p>
    <w:p>
      <w:pPr>
        <w:widowControl/>
        <w:numPr>
          <w:ilvl w:val="0"/>
          <w:numId w:val="97"/>
        </w:numPr>
      </w:pPr>
      <w:r>
        <w:rPr>
          <w:rFonts w:ascii="Calibri" w:hAnsi="Calibri"/>
          <w:b w:val="0"/>
          <w:sz w:val="20"/>
        </w:rPr>
        <w:t>the anonymous registry index and module metadata showing 16 Apache modules including analytics;</w:t>
      </w:r>
    </w:p>
    <w:p>
      <w:pPr>
        <w:widowControl/>
        <w:numPr>
          <w:ilvl w:val="0"/>
          <w:numId w:val="97"/>
        </w:numPr>
      </w:pPr>
      <w:r>
        <w:rPr>
          <w:rFonts w:ascii="Calibri" w:hAnsi="Calibri"/>
          <w:b w:val="0"/>
          <w:sz w:val="20"/>
        </w:rPr>
        <w:t>public GitHub, npm, and tarball availability checks;</w:t>
      </w:r>
    </w:p>
    <w:p>
      <w:pPr>
        <w:widowControl/>
        <w:numPr>
          <w:ilvl w:val="0"/>
          <w:numId w:val="97"/>
        </w:numPr>
      </w:pPr>
      <w:r>
        <w:rPr>
          <w:rFonts w:ascii="Calibri" w:hAnsi="Calibri"/>
          <w:b w:val="0"/>
          <w:sz w:val="20"/>
        </w:rPr>
        <w:t>all 16 package manifests and LICENSE files;</w:t>
      </w:r>
    </w:p>
    <w:p>
      <w:pPr>
        <w:widowControl/>
        <w:numPr>
          <w:ilvl w:val="0"/>
          <w:numId w:val="97"/>
        </w:numPr>
      </w:pPr>
      <w:r>
        <w:rPr>
          <w:rFonts w:ascii="Calibri" w:hAnsi="Calibri"/>
          <w:b w:val="0"/>
          <w:sz w:val="20"/>
        </w:rPr>
        <w:t>the stale GridWork notice occurrence report;</w:t>
      </w:r>
    </w:p>
    <w:p>
      <w:pPr>
        <w:widowControl/>
        <w:numPr>
          <w:ilvl w:val="0"/>
          <w:numId w:val="97"/>
        </w:numPr>
      </w:pPr>
      <w:r>
        <w:rPr>
          <w:rFonts w:ascii="Calibri" w:hAnsi="Calibri"/>
          <w:b w:val="0"/>
          <w:sz w:val="20"/>
        </w:rPr>
        <w:t>current git author/email/trailer, pull-request, contributor, and branch reports;</w:t>
      </w:r>
    </w:p>
    <w:p>
      <w:pPr>
        <w:widowControl/>
        <w:numPr>
          <w:ilvl w:val="0"/>
          <w:numId w:val="97"/>
        </w:numPr>
      </w:pPr>
      <w:r>
        <w:rPr>
          <w:rFonts w:ascii="Calibri" w:hAnsi="Calibri"/>
          <w:b w:val="0"/>
          <w:sz w:val="20"/>
        </w:rPr>
        <w:t>predecessor-repository ownership and license snapshots;</w:t>
      </w:r>
    </w:p>
    <w:p>
      <w:pPr>
        <w:widowControl/>
        <w:numPr>
          <w:ilvl w:val="0"/>
          <w:numId w:val="97"/>
        </w:numPr>
      </w:pPr>
      <w:r>
        <w:rPr>
          <w:rFonts w:ascii="Calibri" w:hAnsi="Calibri"/>
          <w:b w:val="0"/>
          <w:sz w:val="20"/>
        </w:rPr>
        <w:t>dependency lockfiles, SBOM, bundled-file report, and third-party notices;</w:t>
      </w:r>
    </w:p>
    <w:p>
      <w:pPr>
        <w:widowControl/>
        <w:numPr>
          <w:ilvl w:val="0"/>
          <w:numId w:val="97"/>
        </w:numPr>
      </w:pPr>
      <w:r>
        <w:rPr>
          <w:rFonts w:ascii="Calibri" w:hAnsi="Calibri"/>
          <w:b w:val="0"/>
          <w:sz w:val="20"/>
        </w:rPr>
        <w:t>AI provider account/terms/export and commit-level use report; and</w:t>
      </w:r>
    </w:p>
    <w:p>
      <w:pPr>
        <w:widowControl/>
        <w:numPr>
          <w:ilvl w:val="0"/>
          <w:numId w:val="97"/>
        </w:numPr>
      </w:pPr>
      <w:r>
        <w:rPr>
          <w:rFonts w:ascii="Calibri" w:hAnsi="Calibri"/>
          <w:b w:val="0"/>
          <w:sz w:val="20"/>
        </w:rPr>
        <w:t>account ownership/admin/payment/recovery exports for GitHub, npm, domain, Cloudflare, Railway, registry, email, password manager, Discord, and AI services.</w:t>
      </w:r>
    </w:p>
    <w:p>
      <w:pPr>
        <w:pStyle w:val="Heading1"/>
        <w:pageBreakBefore w:val="0"/>
      </w:pPr>
      <w:r>
        <w:rPr>
          <w:rFonts w:ascii="Calibri" w:hAnsi="Calibri"/>
          <w:b/>
        </w:rPr>
        <w:t>7. Counsel and CPA fields that must be completed</w:t>
      </w:r>
    </w:p>
    <w:p>
      <w:pPr>
        <w:widowControl/>
        <w:numPr>
          <w:ilvl w:val="0"/>
          <w:numId w:val="98"/>
        </w:numPr>
      </w:pPr>
      <w:r>
        <w:rPr>
          <w:rFonts w:ascii="Calibri" w:hAnsi="Calibri"/>
          <w:b w:val="0"/>
          <w:sz w:val="20"/>
        </w:rPr>
        <w:t>[COUNSEL: client or clients, conflicts, engagement, privilege-sharing protocol].</w:t>
      </w:r>
    </w:p>
    <w:p>
      <w:pPr>
        <w:widowControl/>
        <w:numPr>
          <w:ilvl w:val="0"/>
          <w:numId w:val="98"/>
        </w:numPr>
      </w:pPr>
      <w:r>
        <w:rPr>
          <w:rFonts w:ascii="Calibri" w:hAnsi="Calibri"/>
          <w:b w:val="0"/>
          <w:sz w:val="20"/>
        </w:rPr>
        <w:t>[COUNSEL: addresses and contact details for Lakshmi Delbel, Liam Thadani, Vik Thadani, the Company, fiduciaries, and escrow holder].</w:t>
      </w:r>
    </w:p>
    <w:p>
      <w:pPr>
        <w:widowControl/>
        <w:numPr>
          <w:ilvl w:val="0"/>
          <w:numId w:val="98"/>
        </w:numPr>
      </w:pPr>
      <w:r>
        <w:rPr>
          <w:rFonts w:ascii="Calibri" w:hAnsi="Calibri"/>
          <w:b w:val="0"/>
          <w:sz w:val="20"/>
        </w:rPr>
        <w:t>[COUNSEL: parents' marital/custody/property/guardianship facts relevant to authority and property].</w:t>
      </w:r>
    </w:p>
    <w:p>
      <w:pPr>
        <w:widowControl/>
        <w:numPr>
          <w:ilvl w:val="0"/>
          <w:numId w:val="98"/>
        </w:numPr>
      </w:pPr>
      <w:r>
        <w:rPr>
          <w:rFonts w:ascii="Calibri" w:hAnsi="Calibri"/>
          <w:b w:val="0"/>
          <w:sz w:val="20"/>
        </w:rPr>
        <w:t>[COUNSEL: trust tax/estate drafting and alternate recipient if Lakshmi does not survive Liam].</w:t>
      </w:r>
    </w:p>
    <w:p>
      <w:pPr>
        <w:widowControl/>
        <w:numPr>
          <w:ilvl w:val="0"/>
          <w:numId w:val="98"/>
        </w:numPr>
      </w:pPr>
      <w:r>
        <w:rPr>
          <w:rFonts w:ascii="Calibri" w:hAnsi="Calibri"/>
          <w:b w:val="0"/>
          <w:sz w:val="20"/>
        </w:rPr>
        <w:t>[COUNSEL/CPA: valuation, consideration, gift completion, Form 709, basis, taxpayer, distributions, reserves].</w:t>
      </w:r>
    </w:p>
    <w:p>
      <w:pPr>
        <w:widowControl/>
        <w:numPr>
          <w:ilvl w:val="0"/>
          <w:numId w:val="98"/>
        </w:numPr>
      </w:pPr>
      <w:r>
        <w:rPr>
          <w:rFonts w:ascii="Calibri" w:hAnsi="Calibri"/>
          <w:b w:val="0"/>
          <w:sz w:val="20"/>
        </w:rPr>
        <w:t>[COUNSEL: manager-managed articles amendment and Georgia filings].</w:t>
      </w:r>
    </w:p>
    <w:p>
      <w:pPr>
        <w:widowControl/>
        <w:numPr>
          <w:ilvl w:val="0"/>
          <w:numId w:val="98"/>
        </w:numPr>
      </w:pPr>
      <w:r>
        <w:rPr>
          <w:rFonts w:ascii="Calibri" w:hAnsi="Calibri"/>
          <w:b w:val="0"/>
          <w:sz w:val="20"/>
        </w:rPr>
        <w:t>[COUNSEL: independent counsel, conservator, guardian ad litem, court approval, or other protective process].</w:t>
      </w:r>
    </w:p>
    <w:p>
      <w:pPr>
        <w:widowControl/>
        <w:numPr>
          <w:ilvl w:val="0"/>
          <w:numId w:val="98"/>
        </w:numPr>
      </w:pPr>
      <w:r>
        <w:rPr>
          <w:rFonts w:ascii="Calibri" w:hAnsi="Calibri"/>
          <w:b w:val="0"/>
          <w:sz w:val="20"/>
        </w:rPr>
        <w:t>[COUNSEL: valid adult-signing date and escrow execution sequence].</w:t>
      </w:r>
    </w:p>
    <w:p>
      <w:pPr>
        <w:widowControl/>
        <w:numPr>
          <w:ilvl w:val="0"/>
          <w:numId w:val="98"/>
        </w:numPr>
      </w:pPr>
      <w:r>
        <w:rPr>
          <w:rFonts w:ascii="Calibri" w:hAnsi="Calibri"/>
          <w:b w:val="0"/>
          <w:sz w:val="20"/>
        </w:rPr>
        <w:t>[COUNSEL: final IP transfer/license structure and recordation].</w:t>
      </w:r>
    </w:p>
    <w:p>
      <w:pPr>
        <w:widowControl/>
        <w:numPr>
          <w:ilvl w:val="0"/>
          <w:numId w:val="98"/>
        </w:numPr>
      </w:pPr>
      <w:r>
        <w:rPr>
          <w:rFonts w:ascii="Calibri" w:hAnsi="Calibri"/>
          <w:b w:val="0"/>
          <w:sz w:val="20"/>
        </w:rPr>
        <w:t>[CPA: Company tax classification, payroll taxes, wage, pay cycle, registrations, accountable plan].</w:t>
      </w:r>
    </w:p>
    <w:p>
      <w:pPr>
        <w:widowControl/>
        <w:numPr>
          <w:ilvl w:val="0"/>
          <w:numId w:val="98"/>
        </w:numPr>
      </w:pPr>
      <w:r>
        <w:rPr>
          <w:rFonts w:ascii="Calibri" w:hAnsi="Calibri"/>
          <w:b w:val="0"/>
          <w:sz w:val="20"/>
        </w:rPr>
        <w:t>[FAMILY/COUNSEL: authority thresholds and work schedule].</w:t>
      </w:r>
    </w:p>
    <w:p>
      <w:pPr>
        <w:widowControl/>
        <w:numPr>
          <w:ilvl w:val="0"/>
          <w:numId w:val="98"/>
        </w:numPr>
      </w:pPr>
      <w:r>
        <w:rPr>
          <w:rFonts w:ascii="Calibri" w:hAnsi="Calibri"/>
          <w:b w:val="0"/>
          <w:sz w:val="20"/>
        </w:rPr>
        <w:t>[TECH/COUNSEL: account ownership, release gate, 15/16 decision, stale-notice correction, provenance reports].</w:t>
      </w:r>
    </w:p>
    <w:p>
      <w:pPr>
        <w:pStyle w:val="Heading1"/>
        <w:pageBreakBefore w:val="0"/>
      </w:pPr>
      <w:r>
        <w:rPr>
          <w:rFonts w:ascii="Calibri" w:hAnsi="Calibri"/>
          <w:b/>
        </w:rPr>
        <w:t>8. Execution gating checklist</w:t>
      </w:r>
    </w:p>
    <w:p>
      <w:pPr>
        <w:keepLines w:val="0"/>
        <w:widowControl/>
      </w:pPr>
      <w:r>
        <w:rPr>
          <w:rFonts w:ascii="Calibri" w:hAnsi="Calibri"/>
          <w:b w:val="0"/>
          <w:sz w:val="21"/>
        </w:rPr>
        <w:t>No instrument should become signature-ready until counsel marks each item complete:</w:t>
      </w:r>
    </w:p>
    <w:p>
      <w:pPr>
        <w:widowControl/>
        <w:numPr>
          <w:ilvl w:val="0"/>
          <w:numId w:val="99"/>
        </w:numPr>
      </w:pPr>
      <w:r>
        <w:rPr>
          <w:rFonts w:ascii="Calibri" w:hAnsi="Calibri"/>
          <w:b w:val="0"/>
          <w:sz w:val="20"/>
        </w:rPr>
        <w:t>[ ] Representation and conflicts resolved in writing.</w:t>
      </w:r>
    </w:p>
    <w:p>
      <w:pPr>
        <w:widowControl/>
        <w:numPr>
          <w:ilvl w:val="0"/>
          <w:numId w:val="99"/>
        </w:numPr>
      </w:pPr>
      <w:r>
        <w:rPr>
          <w:rFonts w:ascii="Calibri" w:hAnsi="Calibri"/>
          <w:b w:val="0"/>
          <w:sz w:val="20"/>
        </w:rPr>
        <w:t>[ ] Lakshmi Delbel, Liam Thadani, Vik Thadani, the Company, and advisor identities and addresses confirmed.</w:t>
      </w:r>
    </w:p>
    <w:p>
      <w:pPr>
        <w:widowControl/>
        <w:numPr>
          <w:ilvl w:val="0"/>
          <w:numId w:val="99"/>
        </w:numPr>
      </w:pPr>
      <w:r>
        <w:rPr>
          <w:rFonts w:ascii="Calibri" w:hAnsi="Calibri"/>
          <w:b w:val="0"/>
          <w:sz w:val="20"/>
        </w:rPr>
        <w:t>[ ] Family-law, custody, support, and guardianship effects reviewed.</w:t>
      </w:r>
    </w:p>
    <w:p>
      <w:pPr>
        <w:widowControl/>
        <w:numPr>
          <w:ilvl w:val="0"/>
          <w:numId w:val="99"/>
        </w:numPr>
      </w:pPr>
      <w:r>
        <w:rPr>
          <w:rFonts w:ascii="Calibri" w:hAnsi="Calibri"/>
          <w:b w:val="0"/>
          <w:sz w:val="20"/>
        </w:rPr>
        <w:t>[ ] Trust and Company tax memo completed.</w:t>
      </w:r>
    </w:p>
    <w:p>
      <w:pPr>
        <w:widowControl/>
        <w:numPr>
          <w:ilvl w:val="0"/>
          <w:numId w:val="99"/>
        </w:numPr>
      </w:pPr>
      <w:r>
        <w:rPr>
          <w:rFonts w:ascii="Calibri" w:hAnsi="Calibri"/>
          <w:b w:val="0"/>
          <w:sz w:val="20"/>
        </w:rPr>
        <w:t>[ ] Independent valuation completed or knowingly waived on written advice.</w:t>
      </w:r>
    </w:p>
    <w:p>
      <w:pPr>
        <w:widowControl/>
        <w:numPr>
          <w:ilvl w:val="0"/>
          <w:numId w:val="99"/>
        </w:numPr>
      </w:pPr>
      <w:r>
        <w:rPr>
          <w:rFonts w:ascii="Calibri" w:hAnsi="Calibri"/>
          <w:b w:val="0"/>
          <w:sz w:val="20"/>
        </w:rPr>
        <w:t>[ ] Independent/court protection for Liam selected and completed.</w:t>
      </w:r>
    </w:p>
    <w:p>
      <w:pPr>
        <w:widowControl/>
        <w:numPr>
          <w:ilvl w:val="0"/>
          <w:numId w:val="99"/>
        </w:numPr>
      </w:pPr>
      <w:r>
        <w:rPr>
          <w:rFonts w:ascii="Calibri" w:hAnsi="Calibri"/>
          <w:b w:val="0"/>
          <w:sz w:val="20"/>
        </w:rPr>
        <w:t>[ ] Final articles amendment prepared.</w:t>
      </w:r>
    </w:p>
    <w:p>
      <w:pPr>
        <w:widowControl/>
        <w:numPr>
          <w:ilvl w:val="0"/>
          <w:numId w:val="99"/>
        </w:numPr>
      </w:pPr>
      <w:r>
        <w:rPr>
          <w:rFonts w:ascii="Calibri" w:hAnsi="Calibri"/>
          <w:b w:val="0"/>
          <w:sz w:val="20"/>
        </w:rPr>
        <w:t>[ ] Instruments 1 through 8 cross-checked for identical defined terms and timing.</w:t>
      </w:r>
    </w:p>
    <w:p>
      <w:pPr>
        <w:widowControl/>
        <w:numPr>
          <w:ilvl w:val="0"/>
          <w:numId w:val="99"/>
        </w:numPr>
      </w:pPr>
      <w:r>
        <w:rPr>
          <w:rFonts w:ascii="Calibri" w:hAnsi="Calibri"/>
          <w:b w:val="0"/>
          <w:sz w:val="20"/>
        </w:rPr>
        <w:t>[ ] Pre-Handoff and simultaneous-death alternate disposition completed.</w:t>
      </w:r>
    </w:p>
    <w:p>
      <w:pPr>
        <w:widowControl/>
        <w:numPr>
          <w:ilvl w:val="0"/>
          <w:numId w:val="99"/>
        </w:numPr>
      </w:pPr>
      <w:r>
        <w:rPr>
          <w:rFonts w:ascii="Calibri" w:hAnsi="Calibri"/>
          <w:b w:val="0"/>
          <w:sz w:val="20"/>
        </w:rPr>
        <w:t>[ ] Handoff adult-signing window confirmed.</w:t>
      </w:r>
    </w:p>
    <w:p>
      <w:pPr>
        <w:widowControl/>
        <w:numPr>
          <w:ilvl w:val="0"/>
          <w:numId w:val="99"/>
        </w:numPr>
      </w:pPr>
      <w:r>
        <w:rPr>
          <w:rFonts w:ascii="Calibri" w:hAnsi="Calibri"/>
          <w:b w:val="0"/>
          <w:sz w:val="20"/>
        </w:rPr>
        <w:t>[ ] Historical IP schedules and title exceptions completed.</w:t>
      </w:r>
    </w:p>
    <w:p>
      <w:pPr>
        <w:widowControl/>
        <w:numPr>
          <w:ilvl w:val="0"/>
          <w:numId w:val="99"/>
        </w:numPr>
      </w:pPr>
      <w:r>
        <w:rPr>
          <w:rFonts w:ascii="Calibri" w:hAnsi="Calibri"/>
          <w:b w:val="0"/>
          <w:sz w:val="20"/>
        </w:rPr>
        <w:t>[ ] GridWork stale-notice facts verified; no fictional transfer included.</w:t>
      </w:r>
    </w:p>
    <w:p>
      <w:pPr>
        <w:widowControl/>
        <w:numPr>
          <w:ilvl w:val="0"/>
          <w:numId w:val="99"/>
        </w:numPr>
      </w:pPr>
      <w:r>
        <w:rPr>
          <w:rFonts w:ascii="Calibri" w:hAnsi="Calibri"/>
          <w:b w:val="0"/>
          <w:sz w:val="20"/>
        </w:rPr>
        <w:t>[ ] 15-versus-16 package decision made and public copy corrected.</w:t>
      </w:r>
    </w:p>
    <w:p>
      <w:pPr>
        <w:widowControl/>
        <w:numPr>
          <w:ilvl w:val="0"/>
          <w:numId w:val="99"/>
        </w:numPr>
      </w:pPr>
      <w:r>
        <w:rPr>
          <w:rFonts w:ascii="Calibri" w:hAnsi="Calibri"/>
          <w:b w:val="0"/>
          <w:sz w:val="20"/>
        </w:rPr>
        <w:t>[ ] No public OSS source release occurs before title/release certification.</w:t>
      </w:r>
    </w:p>
    <w:p>
      <w:pPr>
        <w:widowControl/>
        <w:numPr>
          <w:ilvl w:val="0"/>
          <w:numId w:val="99"/>
        </w:numPr>
      </w:pPr>
      <w:r>
        <w:rPr>
          <w:rFonts w:ascii="Calibri" w:hAnsi="Calibri"/>
          <w:b w:val="0"/>
          <w:sz w:val="20"/>
        </w:rPr>
        <w:t>[ ] AI, human contributor, predecessor, dependency, asset, and account schedules completed.</w:t>
      </w:r>
    </w:p>
    <w:p>
      <w:pPr>
        <w:widowControl/>
        <w:numPr>
          <w:ilvl w:val="0"/>
          <w:numId w:val="99"/>
        </w:numPr>
      </w:pPr>
      <w:r>
        <w:rPr>
          <w:rFonts w:ascii="Calibri" w:hAnsi="Calibri"/>
          <w:b w:val="0"/>
          <w:sz w:val="20"/>
        </w:rPr>
        <w:t>[ ] Employment start, wage, payroll, timekeeping, youth-employment, and insurance setup complete.</w:t>
      </w:r>
    </w:p>
    <w:p>
      <w:pPr>
        <w:widowControl/>
        <w:numPr>
          <w:ilvl w:val="0"/>
          <w:numId w:val="99"/>
        </w:numPr>
      </w:pPr>
      <w:r>
        <w:rPr>
          <w:rFonts w:ascii="Calibri" w:hAnsi="Calibri"/>
          <w:b w:val="0"/>
          <w:sz w:val="20"/>
        </w:rPr>
        <w:t>[ ] Platform roles and update obligations confirmed directly with each platform.</w:t>
      </w:r>
    </w:p>
    <w:p>
      <w:pPr>
        <w:widowControl/>
        <w:numPr>
          <w:ilvl w:val="0"/>
          <w:numId w:val="99"/>
        </w:numPr>
      </w:pPr>
      <w:r>
        <w:rPr>
          <w:rFonts w:ascii="Calibri" w:hAnsi="Calibri"/>
          <w:b w:val="0"/>
          <w:sz w:val="20"/>
        </w:rPr>
        <w:t>[ ] Successor and professional fallback acceptances arranged.</w:t>
      </w:r>
    </w:p>
    <w:p>
      <w:pPr>
        <w:widowControl/>
        <w:numPr>
          <w:ilvl w:val="0"/>
          <w:numId w:val="99"/>
        </w:numPr>
      </w:pPr>
      <w:r>
        <w:rPr>
          <w:rFonts w:ascii="Calibri" w:hAnsi="Calibri"/>
          <w:b w:val="0"/>
          <w:sz w:val="20"/>
        </w:rPr>
        <w:t>[ ] Escrow holder accepts final irrevocable instructions and backup custody.</w:t>
      </w:r>
    </w:p>
    <w:p>
      <w:pPr>
        <w:widowControl/>
        <w:numPr>
          <w:ilvl w:val="0"/>
          <w:numId w:val="99"/>
        </w:numPr>
      </w:pPr>
      <w:r>
        <w:rPr>
          <w:rFonts w:ascii="Calibri" w:hAnsi="Calibri"/>
          <w:b w:val="0"/>
          <w:sz w:val="20"/>
        </w:rPr>
        <w:t>[ ] Signature, witness, notary, filing, delivery, record-book, and secure-storage steps specified.</w:t>
      </w:r>
    </w:p>
    <w:p>
      <w:pPr>
        <w:widowControl/>
        <w:numPr>
          <w:ilvl w:val="0"/>
          <w:numId w:val="99"/>
        </w:numPr>
      </w:pPr>
      <w:r>
        <w:rPr>
          <w:rFonts w:ascii="Calibri" w:hAnsi="Calibri"/>
          <w:b w:val="0"/>
          <w:sz w:val="20"/>
        </w:rPr>
        <w:t>[ ] Closing binder index and post-closing calendar prepared.</w:t>
      </w:r>
    </w:p>
    <w:p>
      <w:pPr>
        <w:pStyle w:val="Heading1"/>
        <w:pageBreakBefore/>
      </w:pPr>
      <w:r>
        <w:rPr>
          <w:rFonts w:ascii="Calibri" w:hAnsi="Calibri"/>
          <w:b/>
        </w:rPr>
        <w:t>End of attorney working draft</w:t>
      </w:r>
    </w:p>
    <w:p>
      <w:pPr>
        <w:spacing w:before="80" w:after="160" w:line="259" w:lineRule="auto"/>
        <w:ind w:left="202" w:right="115"/>
        <w:shd w:fill="EEF5FA"/>
        <w:pBdr>
          <w:left w:val="single" w:sz="18" w:space="6" w:color="1F4D78"/>
        </w:pBdr>
      </w:pPr>
      <w:r>
        <w:rPr>
          <w:rFonts w:ascii="Calibri" w:hAnsi="Calibri"/>
          <w:b/>
          <w:sz w:val="19"/>
        </w:rPr>
        <w:t>NOT SIGNATURE-READY. This integrated draft intentionally contains unresolved brackets, alternatives, cautions, disabled execution blocks, and nonoperative source notes. It must not be signed, notarized, filed, delivered to a platform as evidence of authority, or treated as an effective Company or Trust record.</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20"/>
      <w:jc w:val="left"/>
      <w:pBdr>
        <w:top w:val="single" w:sz="4" w:space="3" w:color="CBD5DF"/>
      </w:pBdr>
    </w:pPr>
    <w:r>
      <w:rPr>
        <w:rFonts w:ascii="Calibri" w:hAnsi="Calibri"/>
        <w:color w:val="5D6874"/>
        <w:sz w:val="16"/>
      </w:rPr>
      <w:t>CONFIDENTIAL - NOT FOR SIGNATURE OR FILING</w:t>
    </w:r>
    <w:r>
      <w:tab/>
      <w:t xml:space="preserve">Page </w:t>
    </w:r>
    <w:r>
      <w:rPr>
        <w:rFonts w:ascii="Calibri" w:hAnsi="Calibri"/>
        <w:color w:val="5D6874"/>
        <w:sz w:val="16"/>
      </w:rPr>
      <w:fldChar w:fldCharType="begin"/>
      <w:instrText xml:space="preserve">PAGE</w:instrText>
      <w:fldChar w:fldCharType="separate"/>
      <w:t>1</w:t>
      <w:fldChar w:fldCharType="end"/>
    </w:r>
    <w:r>
      <w:rPr>
        <w:rFonts w:ascii="Calibri" w:hAnsi="Calibri"/>
        <w:color w:val="5D6874"/>
        <w:sz w:val="16"/>
      </w:rPr>
      <w:t xml:space="preserve"> of </w:t>
    </w:r>
    <w:r>
      <w:rPr>
        <w:rFonts w:ascii="Calibri" w:hAnsi="Calibri"/>
        <w:color w:val="5D6874"/>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20"/>
      <w:jc w:val="left"/>
      <w:pBdr>
        <w:bottom w:val="single" w:sz="4" w:space="3" w:color="CBD5DF"/>
      </w:pBdr>
    </w:pPr>
    <w:r>
      <w:rPr>
        <w:rFonts w:ascii="Calibri" w:hAnsi="Calibri"/>
        <w:b/>
        <w:color w:val="18324B"/>
        <w:sz w:val="16"/>
      </w:rPr>
      <w:t>CAISSON SOFTWARE LLC</w:t>
    </w:r>
    <w:r>
      <w:tab/>
    </w:r>
    <w:r>
      <w:rPr>
        <w:rFonts w:ascii="Calibri" w:hAnsi="Calibri"/>
        <w:b/>
        <w:color w:val="9B1C1C"/>
        <w:sz w:val="16"/>
      </w:rPr>
      <w:t>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
    <w:abstractNumId w:val="10"/>
  </w:num>
  <w:abstractNum w:abstractNumId="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3">
    <w:abstractNumId w:val="12"/>
  </w:num>
  <w:abstractNum w:abstractNumId="1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4">
    <w:abstractNumId w:val="13"/>
  </w:num>
  <w:abstractNum w:abstractNumId="1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5">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16">
    <w:abstractNumId w:val="15"/>
  </w:num>
  <w:abstractNum w:abstractNumId="1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7">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18">
    <w:abstractNumId w:val="17"/>
  </w:num>
  <w:abstractNum w:abstractNumId="1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9">
    <w:abstractNumId w:val="18"/>
  </w:num>
  <w:abstractNum w:abstractNumId="1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0">
    <w:abstractNumId w:val="19"/>
  </w:num>
  <w:abstractNum w:abstractNumId="2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1">
    <w:abstractNumId w:val="20"/>
  </w:num>
  <w:abstractNum w:abstractNumId="2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2">
    <w:abstractNumId w:val="21"/>
  </w:num>
  <w:abstractNum w:abstractNumId="22">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23">
    <w:abstractNumId w:val="22"/>
  </w:num>
  <w:abstractNum w:abstractNumId="2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4">
    <w:abstractNumId w:val="23"/>
  </w:num>
  <w:abstractNum w:abstractNumId="24">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25">
    <w:abstractNumId w:val="24"/>
  </w:num>
  <w:abstractNum w:abstractNumId="2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6">
    <w:abstractNumId w:val="25"/>
  </w:num>
  <w:abstractNum w:abstractNumId="2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7">
    <w:abstractNumId w:val="26"/>
  </w:num>
  <w:abstractNum w:abstractNumId="2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8">
    <w:abstractNumId w:val="27"/>
  </w:num>
  <w:abstractNum w:abstractNumId="2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29">
    <w:abstractNumId w:val="28"/>
  </w:num>
  <w:abstractNum w:abstractNumId="2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0">
    <w:abstractNumId w:val="29"/>
  </w:num>
  <w:abstractNum w:abstractNumId="30">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31">
    <w:abstractNumId w:val="30"/>
  </w:num>
  <w:abstractNum w:abstractNumId="3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2">
    <w:abstractNumId w:val="31"/>
  </w:num>
  <w:abstractNum w:abstractNumId="3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3">
    <w:abstractNumId w:val="32"/>
  </w:num>
  <w:abstractNum w:abstractNumId="3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4">
    <w:abstractNumId w:val="33"/>
  </w:num>
  <w:abstractNum w:abstractNumId="3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5">
    <w:abstractNumId w:val="34"/>
  </w:num>
  <w:abstractNum w:abstractNumId="35">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36">
    <w:abstractNumId w:val="35"/>
  </w:num>
  <w:abstractNum w:abstractNumId="3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7">
    <w:abstractNumId w:val="36"/>
  </w:num>
  <w:abstractNum w:abstractNumId="3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8">
    <w:abstractNumId w:val="37"/>
  </w:num>
  <w:abstractNum w:abstractNumId="3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39">
    <w:abstractNumId w:val="38"/>
  </w:num>
  <w:abstractNum w:abstractNumId="3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0">
    <w:abstractNumId w:val="39"/>
  </w:num>
  <w:abstractNum w:abstractNumId="4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1">
    <w:abstractNumId w:val="40"/>
  </w:num>
  <w:abstractNum w:abstractNumId="4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2">
    <w:abstractNumId w:val="41"/>
  </w:num>
  <w:abstractNum w:abstractNumId="42">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43">
    <w:abstractNumId w:val="42"/>
  </w:num>
  <w:abstractNum w:abstractNumId="4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4">
    <w:abstractNumId w:val="43"/>
  </w:num>
  <w:abstractNum w:abstractNumId="4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5">
    <w:abstractNumId w:val="44"/>
  </w:num>
  <w:abstractNum w:abstractNumId="4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6">
    <w:abstractNumId w:val="45"/>
  </w:num>
  <w:abstractNum w:abstractNumId="46">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47">
    <w:abstractNumId w:val="46"/>
  </w:num>
  <w:abstractNum w:abstractNumId="4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8">
    <w:abstractNumId w:val="47"/>
  </w:num>
  <w:abstractNum w:abstractNumId="4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9">
    <w:abstractNumId w:val="48"/>
  </w:num>
  <w:abstractNum w:abstractNumId="4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50">
    <w:abstractNumId w:val="49"/>
  </w:num>
  <w:abstractNum w:abstractNumId="50">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51">
    <w:abstractNumId w:val="50"/>
  </w:num>
  <w:abstractNum w:abstractNumId="51">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52">
    <w:abstractNumId w:val="51"/>
  </w:num>
  <w:abstractNum w:abstractNumId="52">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53">
    <w:abstractNumId w:val="52"/>
  </w:num>
  <w:abstractNum w:abstractNumId="53">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54">
    <w:abstractNumId w:val="53"/>
  </w:num>
  <w:abstractNum w:abstractNumId="54">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55">
    <w:abstractNumId w:val="54"/>
  </w:num>
  <w:abstractNum w:abstractNumId="5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56">
    <w:abstractNumId w:val="55"/>
  </w:num>
  <w:abstractNum w:abstractNumId="5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57">
    <w:abstractNumId w:val="56"/>
  </w:num>
  <w:abstractNum w:abstractNumId="5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58">
    <w:abstractNumId w:val="57"/>
  </w:num>
  <w:abstractNum w:abstractNumId="5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59">
    <w:abstractNumId w:val="58"/>
  </w:num>
  <w:abstractNum w:abstractNumId="5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0">
    <w:abstractNumId w:val="59"/>
  </w:num>
  <w:abstractNum w:abstractNumId="6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1">
    <w:abstractNumId w:val="60"/>
  </w:num>
  <w:abstractNum w:abstractNumId="6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2">
    <w:abstractNumId w:val="61"/>
  </w:num>
  <w:abstractNum w:abstractNumId="6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3">
    <w:abstractNumId w:val="62"/>
  </w:num>
  <w:abstractNum w:abstractNumId="6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4">
    <w:abstractNumId w:val="63"/>
  </w:num>
  <w:abstractNum w:abstractNumId="64">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65">
    <w:abstractNumId w:val="64"/>
  </w:num>
  <w:abstractNum w:abstractNumId="6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6">
    <w:abstractNumId w:val="65"/>
  </w:num>
  <w:abstractNum w:abstractNumId="6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7">
    <w:abstractNumId w:val="66"/>
  </w:num>
  <w:abstractNum w:abstractNumId="6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8">
    <w:abstractNumId w:val="67"/>
  </w:num>
  <w:abstractNum w:abstractNumId="6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69">
    <w:abstractNumId w:val="68"/>
  </w:num>
  <w:abstractNum w:abstractNumId="6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0">
    <w:abstractNumId w:val="69"/>
  </w:num>
  <w:abstractNum w:abstractNumId="7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1">
    <w:abstractNumId w:val="70"/>
  </w:num>
  <w:abstractNum w:abstractNumId="7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2">
    <w:abstractNumId w:val="71"/>
  </w:num>
  <w:abstractNum w:abstractNumId="7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3">
    <w:abstractNumId w:val="72"/>
  </w:num>
  <w:abstractNum w:abstractNumId="7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4">
    <w:abstractNumId w:val="73"/>
  </w:num>
  <w:abstractNum w:abstractNumId="7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5">
    <w:abstractNumId w:val="74"/>
  </w:num>
  <w:abstractNum w:abstractNumId="7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6">
    <w:abstractNumId w:val="75"/>
  </w:num>
  <w:abstractNum w:abstractNumId="7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7">
    <w:abstractNumId w:val="76"/>
  </w:num>
  <w:abstractNum w:abstractNumId="7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8">
    <w:abstractNumId w:val="77"/>
  </w:num>
  <w:abstractNum w:abstractNumId="7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79">
    <w:abstractNumId w:val="78"/>
  </w:num>
  <w:abstractNum w:abstractNumId="7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0">
    <w:abstractNumId w:val="79"/>
  </w:num>
  <w:abstractNum w:abstractNumId="8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1">
    <w:abstractNumId w:val="80"/>
  </w:num>
  <w:abstractNum w:abstractNumId="8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2">
    <w:abstractNumId w:val="81"/>
  </w:num>
  <w:abstractNum w:abstractNumId="8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3">
    <w:abstractNumId w:val="82"/>
  </w:num>
  <w:abstractNum w:abstractNumId="8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4">
    <w:abstractNumId w:val="83"/>
  </w:num>
  <w:abstractNum w:abstractNumId="8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5">
    <w:abstractNumId w:val="84"/>
  </w:num>
  <w:abstractNum w:abstractNumId="8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6">
    <w:abstractNumId w:val="85"/>
  </w:num>
  <w:abstractNum w:abstractNumId="8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7">
    <w:abstractNumId w:val="86"/>
  </w:num>
  <w:abstractNum w:abstractNumId="87">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8">
    <w:abstractNumId w:val="87"/>
  </w:num>
  <w:abstractNum w:abstractNumId="88">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89">
    <w:abstractNumId w:val="88"/>
  </w:num>
  <w:abstractNum w:abstractNumId="89">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0">
    <w:abstractNumId w:val="89"/>
  </w:num>
  <w:abstractNum w:abstractNumId="9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1">
    <w:abstractNumId w:val="90"/>
  </w:num>
  <w:abstractNum w:abstractNumId="9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2">
    <w:abstractNumId w:val="91"/>
  </w:num>
  <w:abstractNum w:abstractNumId="9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3">
    <w:abstractNumId w:val="92"/>
  </w:num>
  <w:abstractNum w:abstractNumId="93">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4">
    <w:abstractNumId w:val="93"/>
  </w:num>
  <w:abstractNum w:abstractNumId="94">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5">
    <w:abstractNumId w:val="94"/>
  </w:num>
  <w:abstractNum w:abstractNumId="95">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6">
    <w:abstractNumId w:val="95"/>
  </w:num>
  <w:abstractNum w:abstractNumId="96">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97">
    <w:abstractNumId w:val="96"/>
  </w:num>
  <w:abstractNum w:abstractNumId="97">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98">
    <w:abstractNumId w:val="97"/>
  </w:num>
  <w:abstractNum w:abstractNumId="98">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num w:numId="99">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w.justia.com/codes/georgia/title-14/chapter-11/article-1/section-14-11-101/" TargetMode="External"/><Relationship Id="rId12" Type="http://schemas.openxmlformats.org/officeDocument/2006/relationships/hyperlink" Target="https://law.justia.com/codes/georgia/title-14/chapter-11/article-3/section-14-11-301/" TargetMode="External"/><Relationship Id="rId13" Type="http://schemas.openxmlformats.org/officeDocument/2006/relationships/hyperlink" Target="https://law.justia.com/codes/georgia/title-14/chapter-11/article-3/section-14-11-304/" TargetMode="External"/><Relationship Id="rId14" Type="http://schemas.openxmlformats.org/officeDocument/2006/relationships/hyperlink" Target="https://law.justia.com/codes/georgia/title-14/chapter-11/article-3/section-14-11-308/" TargetMode="External"/><Relationship Id="rId15" Type="http://schemas.openxmlformats.org/officeDocument/2006/relationships/hyperlink" Target="https://law.justia.com/codes/georgia/title-14/chapter-11/article-5/section-14-11-501/" TargetMode="External"/><Relationship Id="rId16" Type="http://schemas.openxmlformats.org/officeDocument/2006/relationships/hyperlink" Target="https://law.justia.com/codes/georgia/title-14/chapter-11/article-5/section-14-11-505/" TargetMode="External"/><Relationship Id="rId17" Type="http://schemas.openxmlformats.org/officeDocument/2006/relationships/hyperlink" Target="https://law.justia.com/codes/georgia/title-14/chapter-11/article-5/section-14-11-506/" TargetMode="External"/><Relationship Id="rId18" Type="http://schemas.openxmlformats.org/officeDocument/2006/relationships/hyperlink" Target="https://law.justia.com/codes/georgia/title-14/chapter-11/article-6/section-14-11-601-1/" TargetMode="External"/><Relationship Id="rId19" Type="http://schemas.openxmlformats.org/officeDocument/2006/relationships/hyperlink" Target="https://law.justia.com/codes/georgia/title-14/chapter-11/article-6/section-14-11-602/" TargetMode="External"/><Relationship Id="rId20" Type="http://schemas.openxmlformats.org/officeDocument/2006/relationships/hyperlink" Target="https://law.justia.com/codes/georgia/title-53/chapter-12/article-2/section-53-12-20/" TargetMode="External"/><Relationship Id="rId21" Type="http://schemas.openxmlformats.org/officeDocument/2006/relationships/hyperlink" Target="https://law.justia.com/codes/georgia/title-53/chapter-12/article-2/section-53-12-25/" TargetMode="External"/><Relationship Id="rId22" Type="http://schemas.openxmlformats.org/officeDocument/2006/relationships/hyperlink" Target="https://law.justia.com/codes/georgia/title-53/chapter-12/article-3/section-53-12-40/" TargetMode="External"/><Relationship Id="rId23" Type="http://schemas.openxmlformats.org/officeDocument/2006/relationships/hyperlink" Target="https://law.justia.com/codes/georgia/title-53/chapter-12/article-3/section-53-12-61/" TargetMode="External"/><Relationship Id="rId24" Type="http://schemas.openxmlformats.org/officeDocument/2006/relationships/hyperlink" Target="https://law.justia.com/codes/georgia/title-53/chapter-12/article-13/section-53-12-240/" TargetMode="External"/><Relationship Id="rId25" Type="http://schemas.openxmlformats.org/officeDocument/2006/relationships/hyperlink" Target="https://law.justia.com/codes/georgia/title-53/chapter-12/article-13/section-53-12-246/" TargetMode="External"/><Relationship Id="rId26" Type="http://schemas.openxmlformats.org/officeDocument/2006/relationships/hyperlink" Target="https://law.justia.com/codes/georgia/title-39/chapter-1/section-39-1-1/" TargetMode="External"/><Relationship Id="rId27" Type="http://schemas.openxmlformats.org/officeDocument/2006/relationships/hyperlink" Target="https://law.justia.com/codes/georgia/title-13/chapter-3/article-2/section-13-3-20/" TargetMode="External"/><Relationship Id="rId28" Type="http://schemas.openxmlformats.org/officeDocument/2006/relationships/hyperlink" Target="https://law.justia.com/codes/georgia/title-13/chapter-3/article-2/section-13-3-21/" TargetMode="External"/><Relationship Id="rId29" Type="http://schemas.openxmlformats.org/officeDocument/2006/relationships/hyperlink" Target="https://law.justia.com/codes/georgia/title-44/chapter-5/article-2/section-44-5-41/" TargetMode="External"/><Relationship Id="rId30" Type="http://schemas.openxmlformats.org/officeDocument/2006/relationships/hyperlink" Target="https://law.justia.com/codes/georgia/title-29/chapter-3/article-2/section-29-3-23/" TargetMode="External"/><Relationship Id="rId31" Type="http://schemas.openxmlformats.org/officeDocument/2006/relationships/hyperlink" Target="https://law.justia.com/codes/georgia/title-29/chapter-3/article-3/section-29-3-35/" TargetMode="External"/><Relationship Id="rId32" Type="http://schemas.openxmlformats.org/officeDocument/2006/relationships/hyperlink" Target="https://uscode.house.gov/view.xhtml?req=granuleid:USC-prelim-title17-section201" TargetMode="External"/><Relationship Id="rId33" Type="http://schemas.openxmlformats.org/officeDocument/2006/relationships/hyperlink" Target="https://uscode.house.gov/view.xhtml?req=granuleid:USC-prelim-title17-section101" TargetMode="External"/><Relationship Id="rId34" Type="http://schemas.openxmlformats.org/officeDocument/2006/relationships/hyperlink" Target="https://uscode.house.gov/view.xhtml?req=granuleid:USC-prelim-title17-section204" TargetMode="External"/><Relationship Id="rId35" Type="http://schemas.openxmlformats.org/officeDocument/2006/relationships/hyperlink" Target="https://uscode.house.gov/view.xhtml?req=granuleid:USC-prelim-title35-section261" TargetMode="External"/><Relationship Id="rId36" Type="http://schemas.openxmlformats.org/officeDocument/2006/relationships/hyperlink" Target="https://uscode.house.gov/view.xhtml?req=granuleid:USC-prelim-title17-section203" TargetMode="External"/><Relationship Id="rId37" Type="http://schemas.openxmlformats.org/officeDocument/2006/relationships/hyperlink" Target="https://www.copyright.gov/help/faq/faq-who.html" TargetMode="External"/><Relationship Id="rId38" Type="http://schemas.openxmlformats.org/officeDocument/2006/relationships/hyperlink" Target="https://uscode.house.gov/view.xhtml?req=granuleid:USC-prelim-title18-section1833" TargetMode="External"/><Relationship Id="rId39" Type="http://schemas.openxmlformats.org/officeDocument/2006/relationships/hyperlink" Target="https://www.dol.gov/agencies/whd/youthrules/young-workers/non-ag-16-17" TargetMode="External"/><Relationship Id="rId40" Type="http://schemas.openxmlformats.org/officeDocument/2006/relationships/hyperlink" Target="https://www.dol.gov/agencies/whd/fact-sheets/43-child-labor-non-agriculture" TargetMode="External"/><Relationship Id="rId41" Type="http://schemas.openxmlformats.org/officeDocument/2006/relationships/hyperlink" Target="https://dol.georgia.gov/child-labor-law-exceptions" TargetMode="External"/><Relationship Id="rId42" Type="http://schemas.openxmlformats.org/officeDocument/2006/relationships/hyperlink" Target="https://dol.georgia.gov/child-labor-hazardous-occupations" TargetMode="External"/><Relationship Id="rId43" Type="http://schemas.openxmlformats.org/officeDocument/2006/relationships/hyperlink" Target="https://www.irs.gov/businesses/small-businesses-self-employed/family-employees" TargetMode="External"/><Relationship Id="rId44" Type="http://schemas.openxmlformats.org/officeDocument/2006/relationships/hyperlink" Target="https://www.irs.gov/publications/p15" TargetMode="External"/><Relationship Id="rId45" Type="http://schemas.openxmlformats.org/officeDocument/2006/relationships/hyperlink" Target="https://www.ga-newhire.com/reporting_fundamentals" TargetMode="External"/><Relationship Id="rId46" Type="http://schemas.openxmlformats.org/officeDocument/2006/relationships/hyperlink" Target="https://dor.georgia.gov/taxes/withholding-tax-emplo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Caisson Ownership and Control Drafts</dc:title>
  <dc:subject>Trust, assignment, operating agreement, succession, IP, employment, and age-18 closing documents</dc:subject>
  <dc:creator/>
  <cp:keywords>Caisson Software LLC; draft; attorney review; CPA review</cp:keywords>
  <dc:description>generated by python-docx</dc:description>
  <cp:lastModifiedBy/>
  <cp:revision>1</cp:revision>
  <dcterms:created xsi:type="dcterms:W3CDTF">2013-12-23T23:15:00Z</dcterms:created>
  <dcterms:modified xsi:type="dcterms:W3CDTF">2013-12-23T23:15:00Z</dcterms:modified>
  <cp:category>Confidential attorney/CPA discussion draft</cp:category>
</cp:coreProperties>
</file>