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Sprint 1 only (it includes Task 0)</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as the agent's main reasoning engine, a hosted agent framework, an online IDE, an external slide generator, or an external business service by default. Outside libraries, web research and the team's own MCP server are allowed under the update at the top of this section.</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Web research is allowed (user decision, 2026-10-10; see the update at the top of this section).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Enterprise Buddy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Enterprise Buddy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Enterprise Buddy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BodyText"/>
      </w:pPr>
      <w:r>
        <w:t xml:space="preserve">Begin now with </w:t>
      </w:r>
      <w:r>
        <w:rPr>
          <w:b/>
          <w:bCs/>
        </w:rPr>
        <w:t xml:space="preserve">Sprint 1 only</w:t>
      </w:r>
      <w:r>
        <w:t xml:space="preserve"> (Section 10.0: Tasks 0–2, setup, feasibility and data). Inspect what is already available in the WorkBuddy project context. Create a dedicated workspace if permitted. Do not build the agent, departments or demo site yet, and do not start Sprint 2 or any later sprint. Produce the Sprint 1 deliverables and feasibility findings, create the first versions of </w:t>
      </w:r>
      <w:r>
        <w:rPr>
          <w:rStyle w:val="VerbatimChar"/>
        </w:rPr>
        <w:t xml:space="preserve">docs/CAPABILITIES.md</w:t>
      </w:r>
      <w:r>
        <w:t xml:space="preserve"> and </w:t>
      </w:r>
      <w:r>
        <w:rPr>
          <w:rStyle w:val="VerbatimChar"/>
        </w:rPr>
        <w:t xml:space="preserve">docs/AGENT_WORKFLOW.md</w:t>
      </w:r>
      <w:r>
        <w:t xml:space="preserve">, update </w:t>
      </w:r>
      <w:r>
        <w:rPr>
          <w:rStyle w:val="VerbatimChar"/>
        </w:rPr>
        <w:t xml:space="preserve">PROJECT_STATUS.md</w:t>
      </w:r>
      <w:r>
        <w:t xml:space="preserve">, and end with the mandatory checkpoint response: a recommended next sprint, meaningful alternatives, an invitation to add features,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